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A1" w:rsidRDefault="006659A1" w:rsidP="006659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«Цифровая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компетентностьь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педагога дополнительного образования»</w:t>
      </w:r>
    </w:p>
    <w:p w:rsidR="006659A1" w:rsidRDefault="006659A1" w:rsidP="006659A1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9A1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(«жёсткие навыки»)</w:t>
      </w:r>
    </w:p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Это конкретные, измеримые профессиональные умения и знания, которые нужны для выполнения определённых рабочих задач. Их можно продемонстрировать, проверить и подтвердить документами: дипломом, сертификатом, портфолио или результатом тестового задания.</w:t>
      </w:r>
    </w:p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9A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(«мягкие/гибкие навыки»)</w:t>
      </w:r>
    </w:p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Это личностные качества и умения, которые помогают эффективно взаимодействовать с людьми, решать сложные задачи, адаптироваться к изменениям и работать в условиях неопределённости. Их сложнее измерить объективно: нельзя просто поставить оценку за «коммуникабельность» или «стрессоустойчивость». Часто их оценивают через наблюдение за поведением в реальных ситуациях.</w:t>
      </w:r>
    </w:p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4070"/>
        <w:gridCol w:w="3414"/>
      </w:tblGrid>
      <w:tr w:rsidR="008E76BF" w:rsidRPr="006659A1" w:rsidTr="006659A1">
        <w:trPr>
          <w:tblHeader/>
          <w:tblCellSpacing w:w="15" w:type="dxa"/>
        </w:trPr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Soft</w:t>
            </w:r>
            <w:proofErr w:type="spellEnd"/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skills</w:t>
            </w:r>
            <w:proofErr w:type="spellEnd"/>
          </w:p>
        </w:tc>
        <w:tc>
          <w:tcPr>
            <w:tcW w:w="3369" w:type="dxa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Hard</w:t>
            </w:r>
            <w:proofErr w:type="spellEnd"/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skills</w:t>
            </w:r>
            <w:proofErr w:type="spellEnd"/>
          </w:p>
        </w:tc>
      </w:tr>
      <w:tr w:rsidR="008E76BF" w:rsidRPr="006659A1" w:rsidTr="006659A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Личностные качества, поведенческие и социальные компетенции</w:t>
            </w:r>
          </w:p>
        </w:tc>
        <w:tc>
          <w:tcPr>
            <w:tcW w:w="3369" w:type="dxa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Конкретные, измеримые профессиональные знания и умения</w:t>
            </w:r>
          </w:p>
        </w:tc>
      </w:tr>
      <w:tr w:rsidR="008E76BF" w:rsidRPr="006659A1" w:rsidTr="006659A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Измеримость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Оцениваются косвенно — через поведение и результаты взаимодействия</w:t>
            </w:r>
          </w:p>
        </w:tc>
        <w:tc>
          <w:tcPr>
            <w:tcW w:w="3369" w:type="dxa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Проверяются через тесты, практические задания, сертификации</w:t>
            </w:r>
          </w:p>
        </w:tc>
      </w:tr>
      <w:tr w:rsidR="008E76BF" w:rsidRPr="006659A1" w:rsidTr="006659A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Способ развития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Формируются через опыт, рефлексию, копирование моделей поведения</w:t>
            </w:r>
          </w:p>
        </w:tc>
        <w:tc>
          <w:tcPr>
            <w:tcW w:w="3369" w:type="dxa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Осваиваются через обучение, курсы, образование</w:t>
            </w:r>
          </w:p>
        </w:tc>
      </w:tr>
      <w:tr w:rsidR="008E76BF" w:rsidRPr="006659A1" w:rsidTr="006659A1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Применимость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Универсальны для любой профессии и жизненных ситуаций</w:t>
            </w:r>
          </w:p>
        </w:tc>
        <w:tc>
          <w:tcPr>
            <w:tcW w:w="3369" w:type="dxa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8E76BF" w:rsidRPr="006659A1" w:rsidRDefault="008E76B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Специфичны для конкретной профессиональной области </w:t>
            </w:r>
          </w:p>
        </w:tc>
      </w:tr>
    </w:tbl>
    <w:p w:rsidR="008E76BF" w:rsidRPr="006659A1" w:rsidRDefault="008E76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08F7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Талантливый педагог-профессионал может организовать увлекательное и продуктивное занятие с детьми в любом месте, используя речь и подручные средства. Однако качественное дополнительное образование ассоциируется сегодня с практиками в безопасных помещениях, пространствах с современным дизайном, использованием разнообразного учебного оборудования и материалов, в том числе с «цифровой» составляющей. </w:t>
      </w:r>
    </w:p>
    <w:p w:rsidR="00D008F7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существует несколько глобальных вызовов, характерных для отечественной действительности. Один из них - </w:t>
      </w:r>
      <w:r w:rsidRPr="006659A1">
        <w:rPr>
          <w:rFonts w:ascii="Times New Roman" w:hAnsi="Times New Roman" w:cs="Times New Roman"/>
          <w:b/>
          <w:sz w:val="28"/>
          <w:szCs w:val="28"/>
        </w:rPr>
        <w:t>информационно-технологический</w:t>
      </w:r>
      <w:r w:rsidRPr="006659A1">
        <w:rPr>
          <w:rFonts w:ascii="Times New Roman" w:hAnsi="Times New Roman" w:cs="Times New Roman"/>
          <w:sz w:val="28"/>
          <w:szCs w:val="28"/>
        </w:rPr>
        <w:t xml:space="preserve"> - связан со сменой технологий, развитием цифровой среды и искусственного интеллекта. Он имеет глобальный характер, однако для России стоит особенно остро, в том числе в связи с проблемами устаревания знаний и навыков, а также востребованностью тех или иных компетенций. </w:t>
      </w:r>
    </w:p>
    <w:p w:rsidR="00D008F7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условиях усиливающегося темпа социальных и технологических изменений в современном мире образование не может оставаться замкнутой системой, не учитывать происходящие вокруг изменения. Напротив, именно способность своевременно учитывать изменения и реагировать на вызовы внешней среды является важнейшим фактором конкурентоспособности современной системы образования. Чтобы иметь возможность ответа на информационно-технологические вызовы современности, образовательная система и сама должна идти в ногу со временем. При этом важно не только наличие цифровой инфраструктуры, развитие процессов компьютеризации и информатизации, но и владение работником образовательной системы соответствующими компетенциями в данной сфере, а также умение применять их на практике, в том числе в обучающих целях. По мнению экспертов именно система дополнительного образования сегодня предоставляет наилучшие возможности для внедрения цифровых технологий и продуктов, в том числе в экспериментальном режиме. Однако среди барьеров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называют низкую мотивацию управленческих и педагогических кадров. По данным МЭО (мониторинг экономики образования), доля педагогов, заявивших об интересе к изучению основ работы с ИКТ в рамках программ профессионального развития, составляет не более 11%.</w:t>
      </w:r>
    </w:p>
    <w:p w:rsidR="00CA5065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Учитывая запросы по осво</w:t>
      </w:r>
      <w:r w:rsidR="00CA1234" w:rsidRPr="006659A1">
        <w:rPr>
          <w:rFonts w:ascii="Times New Roman" w:hAnsi="Times New Roman" w:cs="Times New Roman"/>
          <w:sz w:val="28"/>
          <w:szCs w:val="28"/>
        </w:rPr>
        <w:t>ению информационных технологий может быть предложена</w:t>
      </w:r>
      <w:r w:rsidRPr="006659A1">
        <w:rPr>
          <w:rFonts w:ascii="Times New Roman" w:hAnsi="Times New Roman" w:cs="Times New Roman"/>
          <w:sz w:val="28"/>
          <w:szCs w:val="28"/>
        </w:rPr>
        <w:t xml:space="preserve"> модель непрерывного образования педагогических работников в области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образования, имеющую большую практическую значимость и </w:t>
      </w:r>
      <w:r w:rsidR="00CA1234" w:rsidRPr="006659A1">
        <w:rPr>
          <w:rFonts w:ascii="Times New Roman" w:hAnsi="Times New Roman" w:cs="Times New Roman"/>
          <w:sz w:val="28"/>
          <w:szCs w:val="28"/>
        </w:rPr>
        <w:t>включающую:</w:t>
      </w:r>
    </w:p>
    <w:p w:rsidR="00CA5065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систему подготовки педагогических работников, направленную на повышение </w:t>
      </w:r>
      <w:r w:rsidR="00CA1234" w:rsidRPr="006659A1">
        <w:rPr>
          <w:rFonts w:ascii="Times New Roman" w:hAnsi="Times New Roman" w:cs="Times New Roman"/>
          <w:sz w:val="28"/>
          <w:szCs w:val="28"/>
        </w:rPr>
        <w:t>уровня цифровой компетентности;</w:t>
      </w:r>
    </w:p>
    <w:p w:rsidR="00CA5065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комплекс мероприятий, направленных на осуществление сетевого взаимодействия педагогов в условиях единой </w:t>
      </w:r>
      <w:r w:rsidR="00CA1234" w:rsidRPr="006659A1">
        <w:rPr>
          <w:rFonts w:ascii="Times New Roman" w:hAnsi="Times New Roman" w:cs="Times New Roman"/>
          <w:sz w:val="28"/>
          <w:szCs w:val="28"/>
        </w:rPr>
        <w:t>цифровой образовательной среды;</w:t>
      </w:r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8F7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информационно-методическую поддержку педагогов в процессе непрерывного </w:t>
      </w:r>
    </w:p>
    <w:p w:rsidR="00D008F7" w:rsidRPr="006659A1" w:rsidRDefault="00D008F7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Цель модели непрерывного образования педагогических работников – повышение профессионального уровня педагогов в области работы с цифровыми устройствами, владения педагогическими технологиями и методами использования информационных образовательных ресурсов путем проведения комплекса мероприятий в этом направлении. Задачи, решаемые в ходе использования модели: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- изучение нормативно-правовых актов, регламентирующих развитие цифровых и электронных образовательных ресурсов для повышения качества образования;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анализ приоритетов государственной политики в сфере цифровой трансформации образования и развития цифровой образовательной среды;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анализ опыта работы коллег в использовании ЦОР и программных средств;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выявление «слабых и сильных сторон» педагогов в области работы с цифровыми устройствами, владения педагогическими технологиями и методами использования информационных образовательных ресурсов;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определение пути повышения ИКТ-компетентности педагога как одной из составляющих профессионализма; </w:t>
      </w:r>
    </w:p>
    <w:p w:rsidR="006F1EFE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- выявление групп цифровых ресурсов, применение которых позволяет повысить качество преподавания.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Рассмотрим основные документы, которые регулируют использование ИКТ в дополнительном образовании — от общих норм до конкретных правил для педагога. Их можно разделить на несколько групп.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1. Общие правовые основы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Федеральный закон от 29.12.2012 № 273-ФЗ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Федерации». В нём заложен фундамент: закон задаёт общие рамки, в которых педагог вообще может применять технологии.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27.07.2006 № 149-ФЗ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«Об информации, информационных технологиях и о защите информации». Регулирует оборот информации, в том числе в образовательной среде.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27.07.2006 № 152-ФЗ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 персональных данных». Важен, если в процессе работы педагог работает с персональными данными обучающихся или коллег — нужно соблюдать правила их обработки.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Федеральный закон от 29.12.2010 № 436-ФЗ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 защите детей от информации, причиняющей вред их здоровью и развитию». Ключевой документ для обеспечения безопасности детей при использовании интернета и цифровых ресурсов.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Распоряжение Правительства РФ от 02.12.2015 № 2471-р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«Об утверждении Концепции информационной безопасности детей». Задает стратегические ориентиры в этой сфере.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2. Конкретные требования к деятельности педагога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 «Педагог дополнительного образования детей и взрослых»</w:t>
      </w:r>
      <w:r w:rsidRPr="006659A1">
        <w:rPr>
          <w:rFonts w:ascii="Times New Roman" w:hAnsi="Times New Roman" w:cs="Times New Roman"/>
          <w:sz w:val="28"/>
          <w:szCs w:val="28"/>
        </w:rPr>
        <w:t xml:space="preserve"> (утверждён приказом Минтруда России от 22.09.2021 № 652н). В нём прямо прописано: педагог должен использовать на занятиях педагогически обоснованные формы, методы и средства, в том числе ИКТ, электронные образовательные и информационные ресурсы. При этом нужно учитывать особенности обучающихся (возраст, здоровье и т.п.).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3. Правила применения технологий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Постановление Правительства РФ от 11.10.2023 № 1678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«Об утверждении Правил применения организациями, осуществляющими </w:t>
      </w: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деятельность, электронного обучения, дистанционных образовательных технологий при реализации образовательных программ». Эти Правила как раз регламентируют, как можно организовывать обучение с помощью ИКТ и дистанционных технологий: как проводить занятия, контроль, аттестацию.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4. Санитарно-эпидемиологические требования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СП 2.4.3648-20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молодёжи». В них закреплены нормы, касающиеся условий работы с техническими средствами (например, ограничения по времени работы за компьютером, требования к освещённости и т.п.). 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5. Локальные акты образовательной организации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На уровне конкретного учреждения тоже есть свои документы, которые детализируют общие нормы с учётом специфики. Например: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Положение об использовании электронного обучения и дистанционных технологий.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Положение об информационно-коммуникационной образовательной платформе (например, «</w:t>
      </w:r>
      <w:proofErr w:type="spellStart"/>
      <w:r w:rsidRPr="006659A1">
        <w:rPr>
          <w:rFonts w:ascii="Times New Roman" w:hAnsi="Times New Roman" w:cs="Times New Roman"/>
          <w:sz w:val="28"/>
          <w:szCs w:val="28"/>
          <w:u w:val="single"/>
        </w:rPr>
        <w:t>Сферум</w:t>
      </w:r>
      <w:proofErr w:type="spellEnd"/>
      <w:r w:rsidRPr="006659A1">
        <w:rPr>
          <w:rFonts w:ascii="Times New Roman" w:hAnsi="Times New Roman" w:cs="Times New Roman"/>
          <w:sz w:val="28"/>
          <w:szCs w:val="28"/>
          <w:u w:val="single"/>
        </w:rPr>
        <w:t>»).</w:t>
      </w:r>
    </w:p>
    <w:p w:rsidR="00CA5065" w:rsidRPr="006659A1" w:rsidRDefault="00CA506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59A1">
        <w:rPr>
          <w:rFonts w:ascii="Times New Roman" w:hAnsi="Times New Roman" w:cs="Times New Roman"/>
          <w:sz w:val="28"/>
          <w:szCs w:val="28"/>
          <w:u w:val="single"/>
        </w:rPr>
        <w:t>Порядок работы с персональными данными в цифровой среде.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Понятие «цифровая грамотность» впервые в 1997 году ввел Пол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Гилстер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, американский писатель и журналист. По мнению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П.Гилстера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, постоянное нахождение в Интернете, в поле гипертекста, дающего возможность быстрой навигации с одного ресурса на другой, формирует новые паттерны поведения человека, приемы поиска информации, особенности общения. Это приводит к формированию сетевого мышления, основная черта которого – высокая степень информационно коммуникационной активности. Цифровая компетентность акцентирует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социокоммуникативные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аспекты в деятельности человека.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П.Гилстер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выделяет в качестве критериев достижения цифровой компетентности, следующие навыки: 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Критерии достижения медиа компетентности: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1. навыки поиска нужной информации и инструментов работы с ней, умение быстро освоить эти инструменты (информационная компетентность); 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2. навыки общения с другими пользователями (коммуникативная компетентность); 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3. навыки производства информации в ее разнообразных формах и форматах (креативная компетентность). 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последние десятилетия концепции цифровой компетентности и цифровой грамотности все чаще обсуждаются и используются, особенно в документах и дискуссиях, связанных с определением политики развитых стран в области образования.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рамочной конвенции ключевых компетенций Европейского союза для всех граждан цифровая компетентность определяется как одна из восьми </w:t>
      </w: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компетенций, «включающая уверенное и критическое использование технологий информационного общества для работы, отдыха и общения».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2013 году Евросоюзом была принята Европейская модель цифровых компетенций для педагогов </w:t>
      </w:r>
      <w:r w:rsidRPr="006659A1">
        <w:rPr>
          <w:rFonts w:ascii="Times New Roman" w:hAnsi="Times New Roman" w:cs="Times New Roman"/>
          <w:sz w:val="28"/>
          <w:szCs w:val="28"/>
          <w:lang w:val="en-US"/>
        </w:rPr>
        <w:t>Digital</w:t>
      </w:r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  <w:lang w:val="en-US"/>
        </w:rPr>
        <w:t>Competence</w:t>
      </w:r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  <w:lang w:val="en-US"/>
        </w:rPr>
        <w:t>Educators</w:t>
      </w:r>
      <w:r w:rsidRPr="006659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659A1">
        <w:rPr>
          <w:rFonts w:ascii="Times New Roman" w:hAnsi="Times New Roman" w:cs="Times New Roman"/>
          <w:sz w:val="28"/>
          <w:szCs w:val="28"/>
          <w:lang w:val="en-US"/>
        </w:rPr>
        <w:t>DigCompEdu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>). Рис.1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аналитическом отчете международной компании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Consulting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(BCG) «От кадров к талантам» представлена «Целевая модель компетенций 2025», компетенций, значимых для эффективного развития общественного устройства и экономики РФ. Данная модель включает три группы компетенций: социально-поведенческие, когнитивные и цифровые навыки. К цифровым навыкам, в данной модели, относятся: создание систем и управление информацией. Рис. 2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Российской Федерации в 2015 году региональной общественной организацией «Центр интернет-технологий» (РОЦИТ) был предложен практико-ориентированный исследовательский проект, направленный на измерение индекса цифровой грамотности россиян и проведение мероприятий по повышению уровня знаний и компетенций населения в данной области. В рамках проекта цифровая грамотность определялась как набор знаний и умений, которые необходимы для безопасного и эффективного использования цифровых технологий и ресурсов Интернета. Знания и умения распределены по трем основным группам, которые в совокупности составляют цифровые базовые компетенции. Цифровая грамотность включает в себя три ключевые компоненты: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цифровое потребление,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цифровые компетенции, 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цифровую безопасность.</w:t>
      </w:r>
    </w:p>
    <w:p w:rsidR="006327AB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структуре цифровой компетентности выделены четыре компонента: знания; умения и навыки; мотивация; ответственность (включающая, в том числе, безопасность). Каждый из компонентов может реализовываться в различных сферах деятельности в интернете и в разной степени сложности (работа с контентом, коммуникация,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, потребление). </w:t>
      </w:r>
    </w:p>
    <w:p w:rsidR="006327AB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Соответственно, были выделены четыре вида цифровой компетентности: </w:t>
      </w:r>
    </w:p>
    <w:p w:rsidR="006327AB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1) информационная 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медиакомпетентность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— знания, умения, мотивация и ответственность, связанные с поиском, пониманием, организацией, архивированием цифровой информации и ее критическим осмыслением, а также с созданием информационных объектов с использованием цифровых ресурсов (текстовых, изобразительных, аудио и видео); </w:t>
      </w:r>
    </w:p>
    <w:p w:rsidR="006327AB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2) коммуникативная компетентность — знания, умения, мотивация и ответственность, необходимые для различных форм коммуникации (электронная почта, чаты, блоги, форумы, социальные сети и др.) и с различными целями; </w:t>
      </w:r>
    </w:p>
    <w:p w:rsidR="006327AB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3) техническая компетентность — знания, умения, мотивация и ответственность, позволяющие эффективно и безопасно использовать технические и программные средства для решения различных задач, в том числе использования компьютерных сетей, облачных сервисов и т.п.; </w:t>
      </w:r>
    </w:p>
    <w:p w:rsidR="00571239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4) потребительская компетентность — знания, умения, мотивация и ответственность, позволяющие решать с помощью цифровых устройств и интернета различные повседневные задачи, связанные с конкретными жизненными ситуациями, предполагающими удовлетворение различных потребностей. Рис. 3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1239" w:rsidRPr="006659A1" w:rsidRDefault="006327AB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Повышение эффективности учительского труда за счет внедрения в образовательный процесс цифровых технологий, зависит в немалой степени от системности и осмысленности коллективных мероприятий в области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школы: от того, какие, как и насколько полно используются цифровые образовательные ресурсы, в какой степени они доступны всем субъектам образовательного процесса, каково качество этих ресурсов. Рис. 4</w:t>
      </w:r>
      <w:r w:rsidR="00FF4C79" w:rsidRPr="006659A1">
        <w:rPr>
          <w:rFonts w:ascii="Times New Roman" w:hAnsi="Times New Roman" w:cs="Times New Roman"/>
          <w:sz w:val="28"/>
          <w:szCs w:val="28"/>
        </w:rPr>
        <w:t>-8</w:t>
      </w:r>
    </w:p>
    <w:p w:rsidR="00571239" w:rsidRPr="006659A1" w:rsidRDefault="0057123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Информационные технологии в дополнительном образовании открывают возможности совершенно новых методов преподавания и обучения. Применение информационных технологий в образовании привело к появлению нового поколения информационных образовательных технологий, которые позволяют повысить качество обучения, создать новые средства воспитательного воздействия, более эффективно взаимодействовать педагогам и обучаемым с вычислительной техникой. Новые информационные образовательные технологии на основе компьютерных средств позволяют повысить эффективность занятий на 20-30%.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Онлайн-среда для проектной деятельности, симуляторы, тренажеры, виртуальная и дополненная реальность — эти инструменты расширяют возможности использования технологий проектной и исследовательской деятельности, повышают технологичность педагогических и психологических инструментов.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</w:t>
      </w:r>
      <w:r w:rsidRPr="006659A1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6659A1">
        <w:rPr>
          <w:rFonts w:ascii="Times New Roman" w:hAnsi="Times New Roman" w:cs="Times New Roman"/>
          <w:sz w:val="28"/>
          <w:szCs w:val="28"/>
        </w:rPr>
        <w:t xml:space="preserve"> перспективным является применение цифровых технологий в дизайне (в том числе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вебдизайн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), 3D-технологий в театральном искусстве, анимационных студий, программ для разработки архитектурных решений, тренажеров с обратной связью для обучения игре на музыкальных инструментах, танцам и др. В </w:t>
      </w:r>
      <w:r w:rsidRPr="006659A1">
        <w:rPr>
          <w:rFonts w:ascii="Times New Roman" w:hAnsi="Times New Roman" w:cs="Times New Roman"/>
          <w:sz w:val="28"/>
          <w:szCs w:val="28"/>
          <w:u w:val="single"/>
        </w:rPr>
        <w:t>туристско-краеведческой</w:t>
      </w:r>
      <w:r w:rsidRPr="006659A1">
        <w:rPr>
          <w:rFonts w:ascii="Times New Roman" w:hAnsi="Times New Roman" w:cs="Times New Roman"/>
          <w:sz w:val="28"/>
          <w:szCs w:val="28"/>
        </w:rPr>
        <w:t xml:space="preserve"> направленности цифровые ресурсы расширяют возможности проектирования туристических маршрутов, фиксации прохождения этапов в спортивном ориентировании. Создание электронных баз данных краеведческих объектов значительно облегчает систематизацию информации, а</w:t>
      </w:r>
      <w:r w:rsidR="0033254C" w:rsidRPr="006659A1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</w:rPr>
        <w:t xml:space="preserve">применение цифровых интерактивных технологий в музеях, в том числе виртуальных, позволяет совершать путешествия по любым уголкам мира, не выходя из дома. В </w:t>
      </w:r>
      <w:r w:rsidRPr="006659A1">
        <w:rPr>
          <w:rFonts w:ascii="Times New Roman" w:hAnsi="Times New Roman" w:cs="Times New Roman"/>
          <w:i/>
          <w:sz w:val="28"/>
          <w:szCs w:val="28"/>
        </w:rPr>
        <w:t>физкультурно-спортивной</w:t>
      </w:r>
      <w:r w:rsidRPr="006659A1">
        <w:rPr>
          <w:rFonts w:ascii="Times New Roman" w:hAnsi="Times New Roman" w:cs="Times New Roman"/>
          <w:sz w:val="28"/>
          <w:szCs w:val="28"/>
        </w:rPr>
        <w:t xml:space="preserve"> направленности широко используются электронные средства фиксации и </w:t>
      </w:r>
      <w:r w:rsidRPr="006659A1">
        <w:rPr>
          <w:rFonts w:ascii="Times New Roman" w:hAnsi="Times New Roman" w:cs="Times New Roman"/>
          <w:sz w:val="28"/>
          <w:szCs w:val="28"/>
        </w:rPr>
        <w:lastRenderedPageBreak/>
        <w:t>обработки результатов, наглядно-информационное оборудование, электронные табло. Разработаны датчики, которые могут фиксировать работу отдельных групп мышц, осуществлять диагностику сердечного ритма. В последнее время появляются программные продукты поддержки тренировок, позволяющие формировать программу занятий отдельно для каждого ребенка и помогающие достигать мастерства в выбранном виде спорта.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Эффекты использования цифровых технологий проявляются в повышении доступности качественных программ для детей в сельской местности, отдаленных территориях.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Таким образом, педагог, использующий ИКТ в своей профессиональной деятельности просто ОБЯЗАН быть ИКТ-компетентным. ИКТ-компетентность педагога включает в себя три компонента:</w:t>
      </w:r>
      <w:r w:rsidR="0033254C" w:rsidRPr="00665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Общепользовательский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компонент;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2. Общепедагогический компонент;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3. Предметно-педагогический компонент.</w:t>
      </w:r>
      <w:r w:rsidR="0033254C" w:rsidRPr="00665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9A1">
        <w:rPr>
          <w:rFonts w:ascii="Times New Roman" w:hAnsi="Times New Roman" w:cs="Times New Roman"/>
          <w:i/>
          <w:sz w:val="28"/>
          <w:szCs w:val="28"/>
        </w:rPr>
        <w:t>Общепользовательская</w:t>
      </w:r>
      <w:proofErr w:type="spellEnd"/>
      <w:r w:rsidRPr="006659A1">
        <w:rPr>
          <w:rFonts w:ascii="Times New Roman" w:hAnsi="Times New Roman" w:cs="Times New Roman"/>
          <w:i/>
          <w:sz w:val="28"/>
          <w:szCs w:val="28"/>
        </w:rPr>
        <w:t xml:space="preserve"> ИКТ-компетентность</w:t>
      </w:r>
      <w:r w:rsidRPr="006659A1">
        <w:rPr>
          <w:rFonts w:ascii="Times New Roman" w:hAnsi="Times New Roman" w:cs="Times New Roman"/>
          <w:sz w:val="28"/>
          <w:szCs w:val="28"/>
        </w:rPr>
        <w:t xml:space="preserve"> включает в себя пользовательские навыки, в том числе использование видео- фотосъемки, умение использования систем мгновенных сообщений, навыки поиска в сети Интернет и базах данных с соблюдением этических и правовых норм использования ИКТ.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</w:rPr>
        <w:t>Общепедагогическая ИКТ-компетентность</w:t>
      </w:r>
      <w:r w:rsidRPr="006659A1">
        <w:rPr>
          <w:rFonts w:ascii="Times New Roman" w:hAnsi="Times New Roman" w:cs="Times New Roman"/>
          <w:sz w:val="28"/>
          <w:szCs w:val="28"/>
        </w:rPr>
        <w:t xml:space="preserve"> связана с глубокой перестройкой методики обучения и содержания </w:t>
      </w:r>
      <w:r w:rsidR="002C57FD" w:rsidRPr="006659A1">
        <w:rPr>
          <w:rFonts w:ascii="Times New Roman" w:hAnsi="Times New Roman" w:cs="Times New Roman"/>
          <w:sz w:val="28"/>
          <w:szCs w:val="28"/>
        </w:rPr>
        <w:t xml:space="preserve">образования: </w:t>
      </w:r>
      <w:r w:rsidRPr="006659A1">
        <w:rPr>
          <w:rFonts w:ascii="Times New Roman" w:hAnsi="Times New Roman" w:cs="Times New Roman"/>
          <w:sz w:val="28"/>
          <w:szCs w:val="28"/>
        </w:rPr>
        <w:t xml:space="preserve">применение информационных технологий для разных форм образовательной деятельности: групповой, индивидуальной, коллективной; планирование проектной деятельности с учетом возможностей ИКТ; использование доступных ресурсов Интернета; подготовка заданий и тестов в электронном виде. Немаловажным является задача педагога – привлечение обучающихся к активному участию в образовательном процессе, используя для этого современные средства коммуникаций: электронную почту, форум, </w:t>
      </w:r>
      <w:r w:rsidR="002C57FD" w:rsidRPr="006659A1">
        <w:rPr>
          <w:rFonts w:ascii="Times New Roman" w:hAnsi="Times New Roman" w:cs="Times New Roman"/>
          <w:sz w:val="28"/>
          <w:szCs w:val="28"/>
        </w:rPr>
        <w:t xml:space="preserve">мессенджеры </w:t>
      </w:r>
      <w:r w:rsidRPr="006659A1">
        <w:rPr>
          <w:rFonts w:ascii="Times New Roman" w:hAnsi="Times New Roman" w:cs="Times New Roman"/>
          <w:sz w:val="28"/>
          <w:szCs w:val="28"/>
        </w:rPr>
        <w:t xml:space="preserve">и т. п. </w:t>
      </w:r>
    </w:p>
    <w:p w:rsidR="00ED5995" w:rsidRPr="006659A1" w:rsidRDefault="00ED5995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</w:rPr>
        <w:t>Предметно-педагогическая ИКТ-компетентность</w:t>
      </w:r>
      <w:r w:rsidRPr="006659A1">
        <w:rPr>
          <w:rFonts w:ascii="Times New Roman" w:hAnsi="Times New Roman" w:cs="Times New Roman"/>
          <w:sz w:val="28"/>
          <w:szCs w:val="28"/>
        </w:rPr>
        <w:t xml:space="preserve"> соответствует области деятельности и определена следующим образом: педагогу необходимо владеть расширенными приемами самостоятельной подготовки дидактических материалов и рабочих документов, что позволит запланировать и организовать комплексное использование средств ИКТ в образовательном процессе.</w:t>
      </w:r>
      <w:r w:rsidR="002C57FD" w:rsidRPr="006659A1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</w:rPr>
        <w:t>Занятие, как основная форма организации обучения – это то место, где сходятся результаты долгих дидактических и методических поисков, где происходит встреча субъектов, в результате которой каждый из них меняется, приобретая что-то новое. Все это требует от педагога высокого уровня владения ИКТ, а движущийся вперед научно – технический прогресс побуждает постоянно совершенствоваться в этом направлении.</w:t>
      </w:r>
    </w:p>
    <w:p w:rsidR="002C57FD" w:rsidRPr="006659A1" w:rsidRDefault="0033254C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Повышение уровня цифровой грамотности педагогов следует начинать с изучения нормативно-правовых актов, регламентирующих развитие цифровых и электронных образовательных ресурсов для </w:t>
      </w:r>
      <w:r w:rsidRPr="006659A1">
        <w:rPr>
          <w:rFonts w:ascii="Times New Roman" w:hAnsi="Times New Roman" w:cs="Times New Roman"/>
          <w:sz w:val="28"/>
          <w:szCs w:val="28"/>
        </w:rPr>
        <w:lastRenderedPageBreak/>
        <w:t>повышения качества образования. А также анализа приоритетов государственной политики в сфере цифровой трансформации образования и развития цифровой образовательной среды. Не лишним будет и анализ опыта работы коллег в использовании ЦОР и программных средств.</w:t>
      </w:r>
    </w:p>
    <w:p w:rsidR="0033254C" w:rsidRPr="006659A1" w:rsidRDefault="0033254C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При выборе методов и форм обучения необходимо учитывать состояние кадрового потенциала педагогического коллектива образовательного учреждения. В настоящее время актуальным становится вопрос об использовании неформального образования, как наиболее гибкой и эффективной формы повышения уровня цифровой грамотности педагогов. Анализ существующих классификаций методов обучения позволил выделить классификацию по степени индивидуализации в информационно-коммуникационном пространстве, а также по характеру работы с информацией и целью использования ИКТ. Наиболее подходящими является совокупность следующих методов: </w:t>
      </w:r>
    </w:p>
    <w:p w:rsidR="0033254C" w:rsidRPr="006659A1" w:rsidRDefault="0033254C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методы обучения вне рабочего места: лекции в онлайн или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форматах, беседы, совместная деятельность по разработке проектов, дистанционное взаимодействие (обучение проводят коллеги); </w:t>
      </w:r>
    </w:p>
    <w:p w:rsidR="0033254C" w:rsidRPr="006659A1" w:rsidRDefault="0033254C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- методы обучения на рабочем месте: наставничество, инструктирование, «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информальное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» обучение, демонстрация передового педагогического опыта, планомерное приобретение опыта и его рефлексия (обучение проводят методисты, педагоги-новаторы, заместители руководителя); </w:t>
      </w:r>
    </w:p>
    <w:p w:rsidR="0033254C" w:rsidRPr="006659A1" w:rsidRDefault="0033254C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- смешанные методы обучения: инструктаж, наблюдения в профессионально педагогической сфере, экспертное оценивание, реализация этапов проектной деятельности, электронное обучение и др. </w:t>
      </w:r>
    </w:p>
    <w:p w:rsidR="0033254C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БЕЗОПАСНОСТЬ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 данным, приведенным лабораторией Касперского, в России 4 миллиона детей в возрасте от 8 до 14 лет пользуются интернетом, из которых 78% имеют личный профиль в социальных сетях. </w:t>
      </w:r>
      <w:r w:rsidR="00401EA6" w:rsidRPr="006659A1">
        <w:rPr>
          <w:rFonts w:ascii="Times New Roman" w:hAnsi="Times New Roman" w:cs="Times New Roman"/>
          <w:sz w:val="28"/>
          <w:szCs w:val="28"/>
        </w:rPr>
        <w:t>(2022 год)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» – 86% пользователей;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«Одноклассники» – 16% пользователей;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» – 4% пользователей;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Твиттер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» – 2% пользователей.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У каждого 5-го ребёнка более 100 друзей в социальной сети;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40% детей после знакомства онлайн хотят перенести общение в реальную жизнь;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10% российских родителей знают о встречах своих детей с интернет</w:t>
      </w:r>
      <w:r w:rsidR="00401EA6" w:rsidRPr="006659A1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</w:rPr>
        <w:t xml:space="preserve">знакомыми.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 мнению родителей - 88% знают о том, чем дети занимаются в интернете и какие сайты посещают, 92% устанавливают для детей правила нахождения в Сети. 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действительности: 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40% детей не обсуждают проблему безопасности в интернете с родителями;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33% детей не рассказывают родителям о том, какие сайты посещают; 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34% родителей не устанавливают для детей никаких правил поведения в Сети;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23% родителей жалуются, что дети слишком много времени проводят в интернете;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14% родителей не представляют, сколько времени дети тратят на интернет.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 результатам опроса «Взрослые и дети в интернете», проведённого внутренним исследовательским центром «Лаборатории Касперского» в России в 2025 году, 86% школьников (по ответам самих детей) и 87% (по ответам родителей) в среднем проводят в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по четыре часа в день.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основном школьники смотрят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видеоконтент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мемы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(87%), играют в игры (84%) и общаются в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и мессенджерах (74%).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 мере взросления объём экранного времени увеличивается: если среди детей 6–10 лет пользуются гаджетами каждый или почти каждый день 73% и проводят в них в среднем по 3 часа в день, то среди подростков 15–17 лет — уже 94% и проводят в них в среднем около 5 часов в день.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Также, по данным исследования, 22% детей хотя бы раз за год общались в интернете с совершеннолетними незнакомыми людьми, причём среди подростков 15–17 лет этот показатель достигает 34%.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Кроме того, 13% детей сталкивались с различными формами травли в интернете — от оскорбительных сообщений до распространения личной информации.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Интернете, как и в реальной жизни, подростков подстерегают опасности: доступность нежелательного контента в социальных сетях, анонимность, возможность скрыть свой реальный образ, розыгрыши призов, платные СМС на короткие номера и т. п. Наиболее опасные явления: 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Интернет-травля или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порнография, пропаганда насилия и экстремизма; 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опасные знакомства;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обман и вымогательство денег;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заражение компьютера вредоносными программами.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Заражение компьютера вредоносными программами, не менее опасно, чем перечисленные выше угрозы. В результате вирусных атак информация, вводимая, сохраняемая на компьютере, может быть повреждена, уничтожена, переслана третьим лицам. Злоумышленникам может стать доступна информация и величине кредитного счета,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-код и номер кредитной карты. Информация, полученная в результате вирусного заражения, может быть использована для оказания психологического воздействия или в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противоправных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действиях по отношению к подростку и членам его семьи.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Остановимся подробнее на вопросах защиты персонального устройства (компьютера, планшета или смартфона). </w:t>
      </w:r>
    </w:p>
    <w:p w:rsidR="00FF4C79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Безопасность личных данных </w:t>
      </w:r>
    </w:p>
    <w:p w:rsidR="0033254C" w:rsidRPr="006659A1" w:rsidRDefault="00FF4C79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Если вы заходите в свой аккаунт с нескольких устройств ― в том числе рабочих, ― нужно особенно внимательно следить за безопасностью своих данных. Если вы авторизовались в мессенджере или облачном сервисе на рабочем компьютере, не забывайте выходить из аккаунта, когда закончите работу. Это важно, чтобы сохранить приватность общения: ведь после вас рабочим компьютером может воспользоваться другой человек.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 xml:space="preserve">Правила для </w:t>
      </w:r>
      <w:r w:rsidR="00A56386" w:rsidRPr="006659A1">
        <w:rPr>
          <w:rFonts w:ascii="Times New Roman" w:hAnsi="Times New Roman" w:cs="Times New Roman"/>
          <w:b/>
          <w:sz w:val="28"/>
          <w:szCs w:val="28"/>
        </w:rPr>
        <w:t>об</w:t>
      </w:r>
      <w:r w:rsidRPr="006659A1">
        <w:rPr>
          <w:rFonts w:ascii="Times New Roman" w:hAnsi="Times New Roman" w:cs="Times New Roman"/>
          <w:b/>
          <w:sz w:val="28"/>
          <w:szCs w:val="28"/>
        </w:rPr>
        <w:t>уча</w:t>
      </w:r>
      <w:r w:rsidR="00A56386" w:rsidRPr="006659A1">
        <w:rPr>
          <w:rFonts w:ascii="Times New Roman" w:hAnsi="Times New Roman" w:cs="Times New Roman"/>
          <w:b/>
          <w:sz w:val="28"/>
          <w:szCs w:val="28"/>
        </w:rPr>
        <w:t>ю</w:t>
      </w:r>
      <w:r w:rsidRPr="006659A1">
        <w:rPr>
          <w:rFonts w:ascii="Times New Roman" w:hAnsi="Times New Roman" w:cs="Times New Roman"/>
          <w:b/>
          <w:sz w:val="28"/>
          <w:szCs w:val="28"/>
        </w:rPr>
        <w:t xml:space="preserve">щихся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Последствия бесконтрольного общения с интернетом для детей и подростков могут быть самыми непредсказуемыми и трагичными. Для того чтобы сделать интернет-жизнь более безопасной, необходимо познакомить учащегося с правилами поведения в Интернете: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Нельзя разглашать пароль</w:t>
      </w:r>
      <w:r w:rsidRPr="006659A1">
        <w:rPr>
          <w:rFonts w:ascii="Times New Roman" w:hAnsi="Times New Roman" w:cs="Times New Roman"/>
          <w:sz w:val="28"/>
          <w:szCs w:val="28"/>
        </w:rPr>
        <w:t xml:space="preserve"> от своего почтового ящика или аккаунта (учетной записи), страницы в социальных сетях. В результате злоумышленники могут воспользоваться вашим адресом и вашей адресной книгой для рассылки сообщений, в том числе: спама, сообщений неприличного характера или экстремисткой направленности, совершения противоправных действий (мошенничества, угроз, психологического давления и др.) от вашего имени. 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 стоит сохранять пароли на компьютере</w:t>
      </w:r>
      <w:r w:rsidRPr="006659A1">
        <w:rPr>
          <w:rFonts w:ascii="Times New Roman" w:hAnsi="Times New Roman" w:cs="Times New Roman"/>
          <w:sz w:val="28"/>
          <w:szCs w:val="28"/>
        </w:rPr>
        <w:t>, при вирусном заражении пароли могут быть похищены.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Необходимо закрывать сессию </w:t>
      </w:r>
      <w:r w:rsidRPr="006659A1">
        <w:rPr>
          <w:rFonts w:ascii="Times New Roman" w:hAnsi="Times New Roman" w:cs="Times New Roman"/>
          <w:sz w:val="28"/>
          <w:szCs w:val="28"/>
        </w:rPr>
        <w:t xml:space="preserve">(осуществлять выход) по завершению работы с аккаунтом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>, на странице в «Одноклассниках», «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» и др. При работе на чужом компьютере, в общественном месте открытая сессия предоставляет доступ ко всей информации пользователя: сообщениям в социальной сети, фото, видео и документам, адресной книге. 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Нельзя оставлять в публичном доступе</w:t>
      </w:r>
      <w:r w:rsidRPr="006659A1">
        <w:rPr>
          <w:rFonts w:ascii="Times New Roman" w:hAnsi="Times New Roman" w:cs="Times New Roman"/>
          <w:sz w:val="28"/>
          <w:szCs w:val="28"/>
        </w:rPr>
        <w:t xml:space="preserve"> или отправлять незнакомцам по почте, при общении в социальной сети или в чате </w:t>
      </w: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контактную информацию</w:t>
      </w:r>
      <w:r w:rsidRPr="006659A1">
        <w:rPr>
          <w:rFonts w:ascii="Times New Roman" w:hAnsi="Times New Roman" w:cs="Times New Roman"/>
          <w:sz w:val="28"/>
          <w:szCs w:val="28"/>
        </w:rPr>
        <w:t xml:space="preserve"> — любой злоумышленник может выследить человека по его адресу или номеру телефона.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Нельзя соглашаться на уговоры незнакомых людей о личной встрече</w:t>
      </w:r>
      <w:r w:rsidRPr="006659A1">
        <w:rPr>
          <w:rFonts w:ascii="Times New Roman" w:hAnsi="Times New Roman" w:cs="Times New Roman"/>
          <w:sz w:val="28"/>
          <w:szCs w:val="28"/>
        </w:rPr>
        <w:t xml:space="preserve">. Подобные предложения лучше игнорировать, а общение со слишком настойчивым человеком прекратить.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 надо публиковать адрес своей электронной почты</w:t>
      </w:r>
      <w:r w:rsidRPr="006659A1">
        <w:rPr>
          <w:rFonts w:ascii="Times New Roman" w:hAnsi="Times New Roman" w:cs="Times New Roman"/>
          <w:sz w:val="28"/>
          <w:szCs w:val="28"/>
        </w:rPr>
        <w:t xml:space="preserve"> ни на каких форумах, сайтах сообществ и социальных сетей. Это может стать причиной спама.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 следует переходить по ссылкам в сообщениях от неизвестных адресатов</w:t>
      </w:r>
      <w:r w:rsidRPr="006659A1">
        <w:rPr>
          <w:rFonts w:ascii="Times New Roman" w:hAnsi="Times New Roman" w:cs="Times New Roman"/>
          <w:sz w:val="28"/>
          <w:szCs w:val="28"/>
        </w:rPr>
        <w:t xml:space="preserve">. Это небезопасно, поскольку сообщение может быть отправлено злоумышленниками. Тем более сообщать логин и пароль при переходе на другой сайт.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 стоит переходить по ссылкам в сообщениях с чрезмерно заманчивыми предложениями</w:t>
      </w:r>
      <w:r w:rsidRPr="006659A1">
        <w:rPr>
          <w:rFonts w:ascii="Times New Roman" w:hAnsi="Times New Roman" w:cs="Times New Roman"/>
          <w:sz w:val="28"/>
          <w:szCs w:val="28"/>
        </w:rPr>
        <w:t>, например, поднять «рейтинг» учетной записи или получить «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супервозможности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» в социальной сети. Чаще всего такие сообщения рассылают мошенники или злоумышленники для того, чтобы </w:t>
      </w: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заманить пользователя на вредоносную веб-страницу или заразить его компьютер вирусом. 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Не стоит обращать внимания на предложение бесплатных подарков</w:t>
      </w:r>
      <w:r w:rsidRPr="006659A1">
        <w:rPr>
          <w:rFonts w:ascii="Times New Roman" w:hAnsi="Times New Roman" w:cs="Times New Roman"/>
          <w:sz w:val="28"/>
          <w:szCs w:val="28"/>
        </w:rPr>
        <w:t xml:space="preserve">, легкого заработка, сообщения о получении наследства и пр. Такие сообщения рассылают только мошенники. Поводом для вымогательства может стать и грант на обучение в престижном заведении, и участие в модельном агентстве.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 xml:space="preserve">Правила безопасности для </w:t>
      </w:r>
      <w:r w:rsidR="00A56386" w:rsidRPr="006659A1">
        <w:rPr>
          <w:rFonts w:ascii="Times New Roman" w:hAnsi="Times New Roman" w:cs="Times New Roman"/>
          <w:b/>
          <w:sz w:val="28"/>
          <w:szCs w:val="28"/>
        </w:rPr>
        <w:t>педагога</w:t>
      </w:r>
      <w:r w:rsidRPr="00665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i/>
          <w:sz w:val="28"/>
          <w:szCs w:val="28"/>
          <w:u w:val="single"/>
        </w:rPr>
        <w:t>Двухфакторная аутентификация</w:t>
      </w:r>
      <w:r w:rsidRPr="006659A1">
        <w:rPr>
          <w:rFonts w:ascii="Times New Roman" w:hAnsi="Times New Roman" w:cs="Times New Roman"/>
          <w:sz w:val="28"/>
          <w:szCs w:val="28"/>
        </w:rPr>
        <w:t xml:space="preserve"> — это метод идентификации пользователя в каком-либо сервисе при помощи запроса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аутентификационных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данных двух разных типов. Например, это могут быть ваш пароль и одноразовый код, который приходит на телефон. Это обеспечивает двойную, а значит, более эффективную защиту аккаунта взлома.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Старайтесь периодически делать копии всех ваших файлов. Это поможет избежать полной потери данных, если компьютер сломается.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Воспользуйтесь для хранения своих наработок внешними накопителями или облачными хранилищам от надежных разработчиков ― например,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Яндекс.Диском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OneDrive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) или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Диском.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Синхронизируйте аккаунты, чтобы оперативно получать информацию об обновлении и появлении корреспонденции, и не тратить время на проверку всех почтовых адресов или сетевых групп, участников которых Вы являетесь.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Используйте облачные сервисы для хранения. Во время подготовки к урокам приходится подбирать и сохранять много разных материалов: статьи, личные заметки, фотографии, схемы, видео и т.д. Все эти материалы нужно где-то хранить, и удобнее всего, когда к ним есть быстрый доступ.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Создавайте дополнительные почтовые ящики, чтобы разделить официальную и личную переписку. </w:t>
      </w:r>
    </w:p>
    <w:p w:rsidR="00401EA6" w:rsidRPr="006659A1" w:rsidRDefault="00401EA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Segoe UI Symbol" w:eastAsia="MS Gothic" w:hAnsi="Segoe UI Symbol" w:cs="Segoe UI Symbol"/>
          <w:sz w:val="28"/>
          <w:szCs w:val="28"/>
        </w:rPr>
        <w:t>✓</w:t>
      </w:r>
      <w:r w:rsidRPr="006659A1">
        <w:rPr>
          <w:rFonts w:ascii="Times New Roman" w:hAnsi="Times New Roman" w:cs="Times New Roman"/>
          <w:sz w:val="28"/>
          <w:szCs w:val="28"/>
        </w:rPr>
        <w:t xml:space="preserve"> Создавайте папки и фильтры внутри почтового ящика для сортировки входящих писем.</w:t>
      </w:r>
    </w:p>
    <w:p w:rsidR="00FF670F" w:rsidRPr="006659A1" w:rsidRDefault="00FF670F" w:rsidP="006659A1">
      <w:pPr>
        <w:shd w:val="clear" w:color="auto" w:fill="FFFFFF"/>
        <w:spacing w:before="60" w:after="60" w:line="420" w:lineRule="atLeast"/>
        <w:ind w:firstLine="851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59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Ключевые различия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4255"/>
        <w:gridCol w:w="3420"/>
      </w:tblGrid>
      <w:tr w:rsidR="00FF670F" w:rsidRPr="006659A1" w:rsidTr="00FF670F">
        <w:trPr>
          <w:tblHeader/>
          <w:tblCellSpacing w:w="15" w:type="dxa"/>
        </w:trPr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Цифровая грамотность</w:t>
            </w:r>
          </w:p>
        </w:tc>
        <w:tc>
          <w:tcPr>
            <w:tcW w:w="0" w:type="auto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ИКТ-компетентность</w:t>
            </w:r>
          </w:p>
        </w:tc>
      </w:tr>
      <w:tr w:rsidR="00FF670F" w:rsidRPr="006659A1" w:rsidTr="006659A1">
        <w:trPr>
          <w:trHeight w:val="868"/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Охват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широкое понятие, охватывающее всю совокупность навыков для жизни и работы в цифровую эпоху.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узкое понятие, часто связанное с применением технологий в конкретных сферах, особенно в профессиональной (например, ИКТ-</w:t>
            </w: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компетентность педагога).</w:t>
            </w:r>
          </w:p>
        </w:tc>
      </w:tr>
      <w:tr w:rsidR="00FF670F" w:rsidRPr="006659A1" w:rsidTr="00FF6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Акцент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</w:t>
            </w:r>
            <w:proofErr w:type="spellStart"/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социокоммуникативных</w:t>
            </w:r>
            <w:proofErr w:type="spellEnd"/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аспектах</w:t>
            </w: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умение общаться, создавать контент, взаимодействовать в цифровой среде.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</w:t>
            </w: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эффективности и профессиональной применимости</w:t>
            </w: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умение решать конкретные задачи с помощью технологий.</w:t>
            </w:r>
          </w:p>
        </w:tc>
      </w:tr>
      <w:tr w:rsidR="00FF670F" w:rsidRPr="006659A1" w:rsidTr="00FF6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Креативность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Включает креативность как один из ключевых компонентов — способность создавать новые информационные объекты.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является определяющим признаком.</w:t>
            </w:r>
          </w:p>
        </w:tc>
      </w:tr>
      <w:tr w:rsidR="00FF670F" w:rsidRPr="006659A1" w:rsidTr="00FF670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Включает безопасность как один из ключевых компонентов.</w:t>
            </w:r>
          </w:p>
        </w:tc>
        <w:tc>
          <w:tcPr>
            <w:tcW w:w="0" w:type="auto"/>
            <w:shd w:val="clear" w:color="auto" w:fill="FFFFFF"/>
            <w:tcMar>
              <w:top w:w="180" w:type="dxa"/>
              <w:left w:w="150" w:type="dxa"/>
              <w:bottom w:w="180" w:type="dxa"/>
              <w:right w:w="240" w:type="dxa"/>
            </w:tcMar>
            <w:hideMark/>
          </w:tcPr>
          <w:p w:rsidR="00FF670F" w:rsidRPr="006659A1" w:rsidRDefault="00FF670F" w:rsidP="006659A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рассматривается как часть, но не определяющий признак. </w:t>
            </w:r>
          </w:p>
        </w:tc>
      </w:tr>
    </w:tbl>
    <w:p w:rsidR="00FF670F" w:rsidRPr="006659A1" w:rsidRDefault="00FF670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56386" w:rsidRPr="006659A1" w:rsidRDefault="00FF670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Цифровая грамотность — это фундамент, набор базовых навыков для жизни в цифровом мире. ИКТ-компетентность строится на этом фундаменте и добавляет к нему умение эффективно применять технологии в конкретных, часто профессиональных задачах. То есть цифровая грамотность — это «как», а ИКТ-компетентность — «зачем» и «для чего».</w:t>
      </w:r>
    </w:p>
    <w:p w:rsidR="00FF670F" w:rsidRPr="006659A1" w:rsidRDefault="00FF670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действующими </w:t>
      </w:r>
      <w:r w:rsidRPr="006659A1">
        <w:rPr>
          <w:rFonts w:ascii="Times New Roman" w:hAnsi="Times New Roman" w:cs="Times New Roman"/>
          <w:b/>
          <w:sz w:val="28"/>
          <w:szCs w:val="28"/>
        </w:rPr>
        <w:t>санитарно-эпидемиологическими правилами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659A1">
        <w:rPr>
          <w:rFonts w:ascii="Times New Roman" w:hAnsi="Times New Roman" w:cs="Times New Roman"/>
          <w:sz w:val="28"/>
          <w:szCs w:val="28"/>
        </w:rPr>
        <w:t xml:space="preserve"> персональные компьютеры должны иметь документы об оценке (подтверждении) соответствия и использоваться в соответствии с инструкцией по эксплуатации и (или) техническим паспортом.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Основные гигиенические требования: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Требования к оборудованию: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Минимальная диагональ экрана электронного средства обучения (ЭСО) должна составлять для монитора персонального компьютера и ноутбука — не менее 39,6 см, для планшета — 26,6 см.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>Использование мониторов на основе электронно-лучевых трубок в образовательных организациях не допускается.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Использование ноутбуков обучающимися начальных классов возможно только при наличии дополнительной клавиатуры.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Требования к организации занятий: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Занятия с использованием ЭСО в возрастных группах до 5 лет не проводятся.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Одновременное использование детьми на занятиях более двух различных ЭСО (например, интерактивная доска и персональный компьютер) не допускается.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При использовании ЭСО с демонстрацией обучающих фильмов или программ, предусматривающих фиксацию информации в тетрадях, продолжительность непрерывного использования экрана не должна превышать: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детей 5–7 лет — 5–7 минут;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учащихся 1–4-х классов — 10 минут;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учащихся 5–9-х классов — 15 минут.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Продолжительность непрерывного и суммарного использования ЭСО на занятии: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Интерактивная доска: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детей до 10 лет — не более 20 минут;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9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59A1">
        <w:rPr>
          <w:rFonts w:ascii="Times New Roman" w:hAnsi="Times New Roman" w:cs="Times New Roman"/>
          <w:sz w:val="28"/>
          <w:szCs w:val="28"/>
        </w:rPr>
        <w:t xml:space="preserve"> детей старше 10 лет — не более 30 минут.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Компьютер: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1–2 классы — 20 минут;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3–4 классы — 25 минут;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5–9 классы — 30 минут;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10–11 классы — 35 минут.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Суммарная суточная продолжительность использования ЭСО (в соответствии с СанПиН 1.2.3685-21):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Персональный компьютер и ноутбук: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1–2 классы — не более 40 мин. (в школе) + 80 мин. (дома);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3–4 классы — не более 50 мин. (в школе) + 90 мин. (дома);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5–9 классы — не более 60 мин. (в школе) + 120 мин. (дома);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10–11 классы — не более 70 мин. (в школе) + 170 мин. (дома).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Планшет: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1–2 классы — не более 30 мин. (в школе) + 80 мин. (дома);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3–4 классы — не более 45 мин. (в школе) + 90 мин. (дома);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5–9 классы — не более 60 мин. (в школе) + 120 мин. (дома);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10–11 классы — не более 80 мин. (в школе) + 150 мин. (дома).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9A1">
        <w:rPr>
          <w:rFonts w:ascii="Times New Roman" w:hAnsi="Times New Roman" w:cs="Times New Roman"/>
          <w:b/>
          <w:sz w:val="28"/>
          <w:szCs w:val="28"/>
        </w:rPr>
        <w:t>Требования к организации рабочего места: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Расстояние от глаз ребенка до экрана должно быть не менее 50 см.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Планшет должен быть установлен на стол под углом наклона 30°.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Помещение должно иметь естественное и искусственное освещение. Источник местного света должен располагаться сбоку от экрана так, чтобы не создавать бликов.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lastRenderedPageBreak/>
        <w:t xml:space="preserve">Оконные проемы должны быть оборудованы </w:t>
      </w:r>
      <w:proofErr w:type="spellStart"/>
      <w:r w:rsidRPr="006659A1">
        <w:rPr>
          <w:rFonts w:ascii="Times New Roman" w:hAnsi="Times New Roman" w:cs="Times New Roman"/>
          <w:sz w:val="28"/>
          <w:szCs w:val="28"/>
        </w:rPr>
        <w:t>светорегулиру</w:t>
      </w:r>
      <w:bookmarkStart w:id="0" w:name="_GoBack"/>
      <w:bookmarkEnd w:id="0"/>
      <w:r w:rsidRPr="006659A1">
        <w:rPr>
          <w:rFonts w:ascii="Times New Roman" w:hAnsi="Times New Roman" w:cs="Times New Roman"/>
          <w:sz w:val="28"/>
          <w:szCs w:val="28"/>
        </w:rPr>
        <w:t>емыми</w:t>
      </w:r>
      <w:proofErr w:type="spellEnd"/>
      <w:r w:rsidRPr="006659A1">
        <w:rPr>
          <w:rFonts w:ascii="Times New Roman" w:hAnsi="Times New Roman" w:cs="Times New Roman"/>
          <w:sz w:val="28"/>
          <w:szCs w:val="28"/>
        </w:rPr>
        <w:t xml:space="preserve"> устройствами</w:t>
      </w:r>
      <w:r w:rsidR="00120FF5">
        <w:rPr>
          <w:rFonts w:ascii="Times New Roman" w:hAnsi="Times New Roman" w:cs="Times New Roman"/>
          <w:sz w:val="28"/>
          <w:szCs w:val="28"/>
        </w:rPr>
        <w:t xml:space="preserve"> </w:t>
      </w:r>
      <w:r w:rsidRPr="006659A1">
        <w:rPr>
          <w:rFonts w:ascii="Times New Roman" w:hAnsi="Times New Roman" w:cs="Times New Roman"/>
          <w:sz w:val="28"/>
          <w:szCs w:val="28"/>
        </w:rPr>
        <w:t>(жалюзи, шторы).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Профилактика зрительного утомления: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При использовании ЭСО во время занятий и перемен обязательно должна проводиться гимнастика для глаз.</w:t>
      </w:r>
    </w:p>
    <w:p w:rsidR="00DD02BF" w:rsidRPr="006659A1" w:rsidRDefault="00DD02B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9A1">
        <w:rPr>
          <w:rFonts w:ascii="Times New Roman" w:hAnsi="Times New Roman" w:cs="Times New Roman"/>
          <w:sz w:val="28"/>
          <w:szCs w:val="28"/>
        </w:rPr>
        <w:t>Соблюдение указанных гигиенических требований является обязательным для образовательных организаций. Родителям и педагогам необходимо совместно контролировать общее время использования цифровых устройств школьниками как в школе, так и дома, чтобы обеспечить условия для сохранения их здоровья, в первую очередь — зрения.</w:t>
      </w:r>
    </w:p>
    <w:p w:rsidR="00FF670F" w:rsidRPr="006659A1" w:rsidRDefault="00FF670F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36D8" w:rsidRPr="006659A1" w:rsidRDefault="00120FF5" w:rsidP="006659A1">
      <w:pPr>
        <w:ind w:firstLine="851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4" w:history="1">
        <w:r w:rsidR="00A56386" w:rsidRPr="006659A1">
          <w:rPr>
            <w:rStyle w:val="a3"/>
            <w:rFonts w:ascii="Times New Roman" w:hAnsi="Times New Roman" w:cs="Times New Roman"/>
            <w:sz w:val="28"/>
            <w:szCs w:val="28"/>
          </w:rPr>
          <w:t xml:space="preserve">Диагностика компетенций </w:t>
        </w:r>
        <w:proofErr w:type="gramStart"/>
        <w:r w:rsidR="00A56386" w:rsidRPr="006659A1">
          <w:rPr>
            <w:rStyle w:val="a3"/>
            <w:rFonts w:ascii="Times New Roman" w:hAnsi="Times New Roman" w:cs="Times New Roman"/>
            <w:sz w:val="28"/>
            <w:szCs w:val="28"/>
          </w:rPr>
          <w:t>педагога</w:t>
        </w:r>
      </w:hyperlink>
      <w:r w:rsidR="005136D8" w:rsidRPr="006659A1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="005136D8" w:rsidRPr="006659A1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https</w:t>
      </w:r>
      <w:r w:rsidR="005136D8" w:rsidRPr="006659A1">
        <w:rPr>
          <w:rFonts w:ascii="Times New Roman" w:hAnsi="Times New Roman" w:cs="Times New Roman"/>
          <w:color w:val="0000FF"/>
          <w:sz w:val="28"/>
          <w:szCs w:val="28"/>
          <w:u w:val="single"/>
        </w:rPr>
        <w:t>://</w:t>
      </w:r>
      <w:r w:rsidR="005136D8" w:rsidRPr="006659A1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ncko</w:t>
      </w:r>
      <w:r w:rsidR="005136D8" w:rsidRPr="006659A1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="005136D8" w:rsidRPr="006659A1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="005136D8" w:rsidRPr="006659A1">
        <w:rPr>
          <w:rFonts w:ascii="Times New Roman" w:hAnsi="Times New Roman" w:cs="Times New Roman"/>
          <w:color w:val="0000FF"/>
          <w:sz w:val="28"/>
          <w:szCs w:val="28"/>
          <w:u w:val="single"/>
        </w:rPr>
        <w:t>/</w:t>
      </w:r>
      <w:proofErr w:type="gramEnd"/>
    </w:p>
    <w:p w:rsidR="00A56386" w:rsidRPr="006659A1" w:rsidRDefault="00A56386" w:rsidP="006659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6386" w:rsidRPr="006659A1" w:rsidSect="006659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C1"/>
    <w:rsid w:val="00120FF5"/>
    <w:rsid w:val="001A5FAB"/>
    <w:rsid w:val="002614E5"/>
    <w:rsid w:val="002C57FD"/>
    <w:rsid w:val="002D2E08"/>
    <w:rsid w:val="0033254C"/>
    <w:rsid w:val="00401EA6"/>
    <w:rsid w:val="005136D8"/>
    <w:rsid w:val="00571239"/>
    <w:rsid w:val="006327AB"/>
    <w:rsid w:val="006659A1"/>
    <w:rsid w:val="006E42E7"/>
    <w:rsid w:val="00767323"/>
    <w:rsid w:val="008E76BF"/>
    <w:rsid w:val="00915CC1"/>
    <w:rsid w:val="00A56386"/>
    <w:rsid w:val="00CA1234"/>
    <w:rsid w:val="00CA5065"/>
    <w:rsid w:val="00D008F7"/>
    <w:rsid w:val="00D719A3"/>
    <w:rsid w:val="00DD02BF"/>
    <w:rsid w:val="00ED5995"/>
    <w:rsid w:val="00FF4C79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6CFB0-9381-4BED-941E-42FD3221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6BF"/>
  </w:style>
  <w:style w:type="paragraph" w:styleId="2">
    <w:name w:val="heading 2"/>
    <w:basedOn w:val="a"/>
    <w:link w:val="20"/>
    <w:uiPriority w:val="9"/>
    <w:qFormat/>
    <w:rsid w:val="00FF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386"/>
    <w:rPr>
      <w:color w:val="0000FF"/>
      <w:u w:val="single"/>
    </w:rPr>
  </w:style>
  <w:style w:type="character" w:styleId="a4">
    <w:name w:val="Strong"/>
    <w:basedOn w:val="a0"/>
    <w:uiPriority w:val="22"/>
    <w:qFormat/>
    <w:rsid w:val="008E76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5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F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F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51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4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c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14</Pages>
  <Words>4544</Words>
  <Characters>25904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RMC2</dc:creator>
  <cp:keywords/>
  <dc:description/>
  <cp:lastModifiedBy>RMC_Director</cp:lastModifiedBy>
  <cp:revision>15</cp:revision>
  <cp:lastPrinted>2026-08-05T14:19:00Z</cp:lastPrinted>
  <dcterms:created xsi:type="dcterms:W3CDTF">2026-08-05T11:18:00Z</dcterms:created>
  <dcterms:modified xsi:type="dcterms:W3CDTF">2026-08-07T12:08:00Z</dcterms:modified>
</cp:coreProperties>
</file>