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AE" w:rsidRPr="00F772AE" w:rsidRDefault="008D0699" w:rsidP="002D5B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1E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Результаты ЕГЭ по обществознанию </w:t>
      </w:r>
    </w:p>
    <w:p w:rsidR="0032211E" w:rsidRPr="00F772AE" w:rsidRDefault="0032211E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>Для оценки масштабов участия выпускников в ЕГЭ по обществознанию в Кабардино-Балкарской Республике рассмотрим динамику численности участников экзамена за 2023–2025 гг. (рис.).</w:t>
      </w:r>
    </w:p>
    <w:p w:rsidR="003856A3" w:rsidRPr="00F772AE" w:rsidRDefault="003856A3" w:rsidP="00F231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72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E3063F" wp14:editId="08735690">
            <wp:extent cx="3622699" cy="2052164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C6E81" w:rsidRDefault="006E3E0E" w:rsidP="00CC6E81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72AE">
        <w:rPr>
          <w:rFonts w:ascii="Times New Roman" w:hAnsi="Times New Roman" w:cs="Times New Roman"/>
          <w:bCs/>
          <w:sz w:val="28"/>
          <w:szCs w:val="28"/>
          <w:lang w:val="x-none"/>
        </w:rPr>
        <w:t>Рис.</w:t>
      </w:r>
      <w:r w:rsidR="00F2317C" w:rsidRPr="00F772AE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1. </w:t>
      </w:r>
      <w:r w:rsidRPr="00F772AE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Количество участников ЕГЭ по обществознанию </w:t>
      </w:r>
    </w:p>
    <w:p w:rsidR="006E3E0E" w:rsidRPr="00F772AE" w:rsidRDefault="006E3E0E" w:rsidP="00CC6E81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F772AE">
        <w:rPr>
          <w:rFonts w:ascii="Times New Roman" w:hAnsi="Times New Roman" w:cs="Times New Roman"/>
          <w:bCs/>
          <w:sz w:val="28"/>
          <w:szCs w:val="28"/>
          <w:lang w:val="x-none"/>
        </w:rPr>
        <w:t>с 2023 по 2025 гг.</w:t>
      </w:r>
    </w:p>
    <w:p w:rsidR="006E3E0E" w:rsidRPr="00F772AE" w:rsidRDefault="006E3E0E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856A3" w:rsidRPr="00F772AE" w:rsidRDefault="00F2317C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>Данные рис. 1</w:t>
      </w:r>
      <w:r w:rsidR="003856A3" w:rsidRPr="00F772AE">
        <w:rPr>
          <w:sz w:val="28"/>
          <w:szCs w:val="28"/>
        </w:rPr>
        <w:t xml:space="preserve"> наглядно показыва</w:t>
      </w:r>
      <w:r w:rsidRPr="00F772AE">
        <w:rPr>
          <w:sz w:val="28"/>
          <w:szCs w:val="28"/>
        </w:rPr>
        <w:t>ю</w:t>
      </w:r>
      <w:r w:rsidR="003856A3" w:rsidRPr="00F772AE">
        <w:rPr>
          <w:sz w:val="28"/>
          <w:szCs w:val="28"/>
        </w:rPr>
        <w:t xml:space="preserve">т устойчивое сокращение числа участников ЕГЭ по обществознанию в Кабардино-Балкарской Республике. В 2023 году экзамен сдавали 1706 человек, в 2024 году </w:t>
      </w:r>
      <w:r w:rsidR="000B4D77" w:rsidRPr="00F772AE">
        <w:rPr>
          <w:sz w:val="28"/>
          <w:szCs w:val="28"/>
        </w:rPr>
        <w:t>–</w:t>
      </w:r>
      <w:r w:rsidR="003856A3" w:rsidRPr="00F772AE">
        <w:rPr>
          <w:sz w:val="28"/>
          <w:szCs w:val="28"/>
        </w:rPr>
        <w:t xml:space="preserve"> уже 1646, а в 2025 году</w:t>
      </w:r>
      <w:r w:rsidRPr="00F772AE">
        <w:rPr>
          <w:sz w:val="28"/>
          <w:szCs w:val="28"/>
        </w:rPr>
        <w:t>. Общее</w:t>
      </w:r>
      <w:r w:rsidR="003856A3" w:rsidRPr="00F772AE">
        <w:rPr>
          <w:sz w:val="28"/>
          <w:szCs w:val="28"/>
        </w:rPr>
        <w:t xml:space="preserve"> количество участников снизилось до 1521 человека. Снижение происходит постепенно, без резких скачков, но имеет выраженный устойчивый характер.</w:t>
      </w:r>
    </w:p>
    <w:p w:rsidR="003856A3" w:rsidRPr="00F772AE" w:rsidRDefault="003856A3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 xml:space="preserve">Особенно заметно сокращение между 2024 и 2025 годами. Именно на этом этапе </w:t>
      </w:r>
      <w:r w:rsidR="00F2317C" w:rsidRPr="00F772AE">
        <w:rPr>
          <w:sz w:val="28"/>
          <w:szCs w:val="28"/>
        </w:rPr>
        <w:t xml:space="preserve">спад становится более ощутимым. Сопоставление данных </w:t>
      </w:r>
      <w:r w:rsidRPr="00F772AE">
        <w:rPr>
          <w:sz w:val="28"/>
          <w:szCs w:val="28"/>
        </w:rPr>
        <w:t>позволяет говорить не о разовой ситуации, а о сформировавшейся тенденции снижения интереса выпускников к обществознанию как экзаменационному предмету.</w:t>
      </w:r>
    </w:p>
    <w:p w:rsidR="004C5473" w:rsidRPr="00F772AE" w:rsidRDefault="004C5473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>Смещение образовательных приоритетов отражается не только в абсолютных значениях, но и в изменении доли сдающих обществознание от общего числа участников ЕГЭ, что особенно отчётливо видно при анализе процентных показателей (рис.</w:t>
      </w:r>
      <w:r w:rsidR="00F2317C" w:rsidRPr="00F772AE">
        <w:rPr>
          <w:sz w:val="28"/>
          <w:szCs w:val="28"/>
        </w:rPr>
        <w:t xml:space="preserve"> 2</w:t>
      </w:r>
      <w:r w:rsidRPr="00F772AE">
        <w:rPr>
          <w:sz w:val="28"/>
          <w:szCs w:val="28"/>
        </w:rPr>
        <w:t>).</w:t>
      </w:r>
    </w:p>
    <w:p w:rsidR="00126975" w:rsidRPr="00F772AE" w:rsidRDefault="00126975" w:rsidP="003221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126975" w:rsidRPr="00F772AE" w:rsidRDefault="00126975" w:rsidP="00CC6E8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72A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CC8437" wp14:editId="7FF90AC4">
            <wp:extent cx="3832104" cy="2052165"/>
            <wp:effectExtent l="0" t="0" r="16510" b="247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856A3" w:rsidRPr="00F772AE" w:rsidRDefault="00126975" w:rsidP="00CC6E8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</w:t>
      </w:r>
      <w:r w:rsidR="00F2317C" w:rsidRP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Доля участников ЕГЭ по обществознанию в общем числе участников ЕГЭ в 2023–2025 гг. (%).</w:t>
      </w:r>
    </w:p>
    <w:p w:rsidR="000B4D77" w:rsidRPr="00F772AE" w:rsidRDefault="000B4D77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26975" w:rsidRPr="00F772AE" w:rsidRDefault="00126975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>Согласно данным рис.</w:t>
      </w:r>
      <w:r w:rsidR="000B4D77" w:rsidRPr="00F772AE">
        <w:rPr>
          <w:sz w:val="28"/>
          <w:szCs w:val="28"/>
        </w:rPr>
        <w:t xml:space="preserve"> 2.</w:t>
      </w:r>
      <w:r w:rsidRPr="00F772AE">
        <w:rPr>
          <w:sz w:val="28"/>
          <w:szCs w:val="28"/>
        </w:rPr>
        <w:t xml:space="preserve"> </w:t>
      </w:r>
      <w:r w:rsidR="005D3338" w:rsidRPr="00F772AE">
        <w:rPr>
          <w:sz w:val="28"/>
          <w:szCs w:val="28"/>
        </w:rPr>
        <w:t xml:space="preserve">доля </w:t>
      </w:r>
      <w:r w:rsidR="005D3338">
        <w:rPr>
          <w:sz w:val="28"/>
          <w:szCs w:val="28"/>
        </w:rPr>
        <w:t xml:space="preserve">выпускников школ </w:t>
      </w:r>
      <w:r w:rsidR="005D3338" w:rsidRPr="00F772AE">
        <w:rPr>
          <w:sz w:val="28"/>
          <w:szCs w:val="28"/>
        </w:rPr>
        <w:t>в Кабардино-Балкарской Республике</w:t>
      </w:r>
      <w:r w:rsidR="005D3338">
        <w:rPr>
          <w:sz w:val="28"/>
          <w:szCs w:val="28"/>
        </w:rPr>
        <w:t>,</w:t>
      </w:r>
      <w:r w:rsidRPr="00F772AE">
        <w:rPr>
          <w:sz w:val="28"/>
          <w:szCs w:val="28"/>
        </w:rPr>
        <w:t xml:space="preserve"> сдающих обществознание</w:t>
      </w:r>
      <w:r w:rsidR="005D3338">
        <w:rPr>
          <w:sz w:val="28"/>
          <w:szCs w:val="28"/>
        </w:rPr>
        <w:t xml:space="preserve"> </w:t>
      </w:r>
      <w:r w:rsidR="005D3338" w:rsidRPr="00F772AE">
        <w:rPr>
          <w:sz w:val="28"/>
          <w:szCs w:val="28"/>
        </w:rPr>
        <w:t>в 2023 году</w:t>
      </w:r>
      <w:r w:rsidRPr="00F772AE">
        <w:rPr>
          <w:sz w:val="28"/>
          <w:szCs w:val="28"/>
        </w:rPr>
        <w:t xml:space="preserve"> составляла 39,59 %, в 2024 году да</w:t>
      </w:r>
      <w:r w:rsidR="000B4D77" w:rsidRPr="00F772AE">
        <w:rPr>
          <w:sz w:val="28"/>
          <w:szCs w:val="28"/>
        </w:rPr>
        <w:t>же немного выросла – до 41,14 %. О</w:t>
      </w:r>
      <w:r w:rsidRPr="00F772AE">
        <w:rPr>
          <w:sz w:val="28"/>
          <w:szCs w:val="28"/>
        </w:rPr>
        <w:t>днако в 2025 году резко снизилась до 31,63 %. Рост доли в 2024 году, по всей видимости, носил временный характер и был связан с особенностями выбора предметов конкретного выпуска. В 2025 году эта тенденция не закрепилась, и обществознание утратило позиции одного из наиболее массовых экзаменов по выбору. Диаграмма подчёркивает, что в структуре ЕГЭ предмет постепенно уступает место другим дисциплинам, прежде всего востребованным при поступлении на технические и естественно-научные направления.</w:t>
      </w:r>
    </w:p>
    <w:p w:rsidR="00126975" w:rsidRPr="00F772AE" w:rsidRDefault="004C5473" w:rsidP="003221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2AE">
        <w:rPr>
          <w:rFonts w:ascii="Times New Roman" w:hAnsi="Times New Roman" w:cs="Times New Roman"/>
          <w:sz w:val="28"/>
          <w:szCs w:val="28"/>
        </w:rPr>
        <w:t>Чтобы понять, за счёт каких групп формируется изменение средних результатов, целесообразно обратиться к распределению участников ЕГЭ по обществознанию по диапазонам тестовых баллов за 2023–2025 гг. (рис.</w:t>
      </w:r>
      <w:r w:rsidR="000B4D77" w:rsidRPr="00F772AE">
        <w:rPr>
          <w:rFonts w:ascii="Times New Roman" w:hAnsi="Times New Roman" w:cs="Times New Roman"/>
          <w:sz w:val="28"/>
          <w:szCs w:val="28"/>
        </w:rPr>
        <w:t xml:space="preserve"> 3</w:t>
      </w:r>
      <w:r w:rsidRPr="00F772AE">
        <w:rPr>
          <w:rFonts w:ascii="Times New Roman" w:hAnsi="Times New Roman" w:cs="Times New Roman"/>
          <w:sz w:val="28"/>
          <w:szCs w:val="28"/>
        </w:rPr>
        <w:t>).</w:t>
      </w:r>
    </w:p>
    <w:p w:rsidR="00126975" w:rsidRPr="00F772AE" w:rsidRDefault="00126975" w:rsidP="0032211E">
      <w:pPr>
        <w:pStyle w:val="3"/>
        <w:numPr>
          <w:ilvl w:val="0"/>
          <w:numId w:val="0"/>
        </w:numPr>
        <w:tabs>
          <w:tab w:val="left" w:pos="142"/>
        </w:tabs>
        <w:spacing w:before="0" w:line="360" w:lineRule="auto"/>
        <w:ind w:firstLine="709"/>
        <w:jc w:val="both"/>
        <w:rPr>
          <w:rFonts w:ascii="Times New Roman" w:hAnsi="Times New Roman"/>
          <w:b w:val="0"/>
          <w:szCs w:val="28"/>
          <w:lang w:val="ru-RU"/>
        </w:rPr>
      </w:pPr>
      <w:r w:rsidRPr="00F772AE">
        <w:rPr>
          <w:rFonts w:ascii="Times New Roman" w:hAnsi="Times New Roman"/>
          <w:b w:val="0"/>
          <w:noProof/>
          <w:szCs w:val="28"/>
          <w:lang w:val="ru-RU"/>
        </w:rPr>
        <w:lastRenderedPageBreak/>
        <w:drawing>
          <wp:inline distT="0" distB="0" distL="0" distR="0" wp14:anchorId="101F0AC6" wp14:editId="11ED144A">
            <wp:extent cx="4236953" cy="2401173"/>
            <wp:effectExtent l="0" t="0" r="11430" b="184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0699" w:rsidRPr="00F772AE" w:rsidRDefault="00126975" w:rsidP="0032211E">
      <w:pPr>
        <w:pStyle w:val="3"/>
        <w:numPr>
          <w:ilvl w:val="0"/>
          <w:numId w:val="0"/>
        </w:numPr>
        <w:tabs>
          <w:tab w:val="left" w:pos="142"/>
        </w:tabs>
        <w:spacing w:before="0" w:line="360" w:lineRule="auto"/>
        <w:ind w:firstLine="709"/>
        <w:jc w:val="both"/>
        <w:rPr>
          <w:rFonts w:ascii="Times New Roman" w:hAnsi="Times New Roman"/>
          <w:b w:val="0"/>
          <w:szCs w:val="28"/>
          <w:lang w:val="ru-RU"/>
        </w:rPr>
      </w:pPr>
      <w:r w:rsidRPr="00F772AE">
        <w:rPr>
          <w:rFonts w:ascii="Times New Roman" w:hAnsi="Times New Roman"/>
          <w:b w:val="0"/>
          <w:szCs w:val="28"/>
          <w:lang w:val="ru-RU"/>
        </w:rPr>
        <w:t xml:space="preserve">Рис. </w:t>
      </w:r>
      <w:r w:rsidR="000B4D77" w:rsidRPr="00F772AE">
        <w:rPr>
          <w:rFonts w:ascii="Times New Roman" w:hAnsi="Times New Roman"/>
          <w:b w:val="0"/>
          <w:szCs w:val="28"/>
          <w:lang w:val="ru-RU"/>
        </w:rPr>
        <w:t xml:space="preserve">3. </w:t>
      </w:r>
      <w:r w:rsidR="008D0699" w:rsidRPr="00F772AE">
        <w:rPr>
          <w:rFonts w:ascii="Times New Roman" w:hAnsi="Times New Roman"/>
          <w:b w:val="0"/>
          <w:szCs w:val="28"/>
        </w:rPr>
        <w:t xml:space="preserve">Динамика результатов ЕГЭ по обществознанию </w:t>
      </w:r>
      <w:r w:rsidR="000B4D77" w:rsidRPr="00F772AE">
        <w:rPr>
          <w:rFonts w:ascii="Times New Roman" w:eastAsia="Calibri" w:hAnsi="Times New Roman"/>
          <w:b w:val="0"/>
          <w:color w:val="000000" w:themeColor="text1"/>
          <w:kern w:val="24"/>
          <w:szCs w:val="28"/>
          <w:lang w:val="ru-RU"/>
        </w:rPr>
        <w:t xml:space="preserve">в </w:t>
      </w:r>
      <w:r w:rsidR="000B4D77" w:rsidRPr="00F772AE">
        <w:rPr>
          <w:rFonts w:ascii="Times New Roman" w:eastAsia="Calibri" w:hAnsi="Times New Roman"/>
          <w:b w:val="0"/>
          <w:color w:val="000000" w:themeColor="text1"/>
          <w:kern w:val="24"/>
          <w:szCs w:val="28"/>
        </w:rPr>
        <w:t>2023-2025 гг.</w:t>
      </w:r>
    </w:p>
    <w:p w:rsidR="008D0699" w:rsidRPr="00F772AE" w:rsidRDefault="008D0699" w:rsidP="0032211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473" w:rsidRPr="00F772AE" w:rsidRDefault="004C5473" w:rsidP="001829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 xml:space="preserve">Диаграмма наглядно показывает, что в 2025 году произошло смещение основной массы результатов в зону низких и средних баллов. Доля участников, не преодолевших минимальный порог, снизилась до 22,81 %, однако это снижение не привело к росту высоких результатов. Напротив, резко увеличилась группа участников, набравших от минимального балла до 60 </w:t>
      </w:r>
      <w:r w:rsidR="000B4D77" w:rsidRPr="00F772AE">
        <w:rPr>
          <w:sz w:val="28"/>
          <w:szCs w:val="28"/>
        </w:rPr>
        <w:t>–</w:t>
      </w:r>
      <w:r w:rsidRPr="00F772AE">
        <w:rPr>
          <w:sz w:val="28"/>
          <w:szCs w:val="28"/>
        </w:rPr>
        <w:t xml:space="preserve"> почти до 49 %</w:t>
      </w:r>
      <w:r w:rsidR="000B4D77" w:rsidRPr="00F772AE">
        <w:rPr>
          <w:sz w:val="28"/>
          <w:szCs w:val="28"/>
        </w:rPr>
        <w:t xml:space="preserve">. </w:t>
      </w:r>
      <w:r w:rsidRPr="00F772AE">
        <w:rPr>
          <w:sz w:val="28"/>
          <w:szCs w:val="28"/>
        </w:rPr>
        <w:t>Одновременно сокра</w:t>
      </w:r>
      <w:r w:rsidR="000B4D77" w:rsidRPr="00F772AE">
        <w:rPr>
          <w:sz w:val="28"/>
          <w:szCs w:val="28"/>
        </w:rPr>
        <w:t>тилась</w:t>
      </w:r>
      <w:r w:rsidRPr="00F772AE">
        <w:rPr>
          <w:sz w:val="28"/>
          <w:szCs w:val="28"/>
        </w:rPr>
        <w:t xml:space="preserve"> доля выпускников с высокими результатами. </w:t>
      </w:r>
    </w:p>
    <w:p w:rsidR="004C5473" w:rsidRPr="00F772AE" w:rsidRDefault="006E3E0E" w:rsidP="0032211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2AE">
        <w:rPr>
          <w:rFonts w:ascii="Times New Roman" w:hAnsi="Times New Roman" w:cs="Times New Roman"/>
          <w:sz w:val="28"/>
          <w:szCs w:val="28"/>
        </w:rPr>
        <w:t xml:space="preserve">Для более детального понимания изменений в результатах ЕГЭ по обществознанию рассмотрим </w:t>
      </w:r>
      <w:r w:rsidRPr="00F772AE">
        <w:rPr>
          <w:rStyle w:val="a7"/>
          <w:rFonts w:ascii="Times New Roman" w:hAnsi="Times New Roman" w:cs="Times New Roman"/>
          <w:b w:val="0"/>
          <w:sz w:val="28"/>
          <w:szCs w:val="28"/>
        </w:rPr>
        <w:t>распределение участников по основным диапазонам тестовых баллов</w:t>
      </w:r>
      <w:r w:rsidRPr="00F772AE">
        <w:rPr>
          <w:rFonts w:ascii="Times New Roman" w:hAnsi="Times New Roman" w:cs="Times New Roman"/>
          <w:sz w:val="28"/>
          <w:szCs w:val="28"/>
        </w:rPr>
        <w:t xml:space="preserve"> за 2023–2025 годы (рис.</w:t>
      </w:r>
      <w:r w:rsidR="000B4D77" w:rsidRPr="00F772AE">
        <w:rPr>
          <w:rFonts w:ascii="Times New Roman" w:hAnsi="Times New Roman" w:cs="Times New Roman"/>
          <w:sz w:val="28"/>
          <w:szCs w:val="28"/>
        </w:rPr>
        <w:t xml:space="preserve"> 4</w:t>
      </w:r>
      <w:r w:rsidRPr="00F772AE">
        <w:rPr>
          <w:rFonts w:ascii="Times New Roman" w:hAnsi="Times New Roman" w:cs="Times New Roman"/>
          <w:sz w:val="28"/>
          <w:szCs w:val="28"/>
        </w:rPr>
        <w:t>).</w:t>
      </w:r>
    </w:p>
    <w:p w:rsidR="004C5473" w:rsidRPr="00F772AE" w:rsidRDefault="004C5473" w:rsidP="0032211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2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3023DD" wp14:editId="04DCABFB">
            <wp:extent cx="4027549" cy="2142907"/>
            <wp:effectExtent l="0" t="0" r="11430" b="1016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56A3" w:rsidRPr="00F772AE" w:rsidRDefault="004C5473" w:rsidP="0032211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772AE">
        <w:rPr>
          <w:rFonts w:ascii="Times New Roman" w:hAnsi="Times New Roman" w:cs="Times New Roman"/>
          <w:sz w:val="28"/>
          <w:szCs w:val="28"/>
        </w:rPr>
        <w:t xml:space="preserve">Рис. </w:t>
      </w:r>
      <w:r w:rsidR="000B4D77" w:rsidRPr="00F772AE">
        <w:rPr>
          <w:rFonts w:ascii="Times New Roman" w:hAnsi="Times New Roman" w:cs="Times New Roman"/>
          <w:sz w:val="28"/>
          <w:szCs w:val="28"/>
        </w:rPr>
        <w:t xml:space="preserve">4. </w:t>
      </w:r>
      <w:r w:rsidR="003856A3" w:rsidRPr="00F772AE">
        <w:rPr>
          <w:rFonts w:ascii="Times New Roman" w:hAnsi="Times New Roman" w:cs="Times New Roman"/>
          <w:sz w:val="28"/>
          <w:szCs w:val="28"/>
        </w:rPr>
        <w:t xml:space="preserve">Средний тестовый балл по обществознанию </w:t>
      </w:r>
      <w:r w:rsidR="006E3E0E" w:rsidRPr="00F772A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(2023-2025 гг.)</w:t>
      </w:r>
    </w:p>
    <w:p w:rsidR="006E3E0E" w:rsidRPr="00F772AE" w:rsidRDefault="006E3E0E" w:rsidP="0032211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0E" w:rsidRPr="00F772AE" w:rsidRDefault="006E3E0E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lastRenderedPageBreak/>
        <w:t>Диаграмма наглядно показывает, что за три года структура результатов заметно сместилась. В 2025 году сократилась доля участников</w:t>
      </w:r>
      <w:r w:rsidR="005D3338">
        <w:rPr>
          <w:sz w:val="28"/>
          <w:szCs w:val="28"/>
        </w:rPr>
        <w:t xml:space="preserve"> экзамена</w:t>
      </w:r>
      <w:r w:rsidRPr="00F772AE">
        <w:rPr>
          <w:sz w:val="28"/>
          <w:szCs w:val="28"/>
        </w:rPr>
        <w:t>, не преодолев</w:t>
      </w:r>
      <w:r w:rsidR="000B4D77" w:rsidRPr="00F772AE">
        <w:rPr>
          <w:sz w:val="28"/>
          <w:szCs w:val="28"/>
        </w:rPr>
        <w:t xml:space="preserve">ших минимальный порог (22,81 %). </w:t>
      </w:r>
      <w:r w:rsidRPr="00F772AE">
        <w:rPr>
          <w:sz w:val="28"/>
          <w:szCs w:val="28"/>
        </w:rPr>
        <w:t xml:space="preserve"> </w:t>
      </w:r>
      <w:r w:rsidR="000B4D77" w:rsidRPr="00F772AE">
        <w:rPr>
          <w:sz w:val="28"/>
          <w:szCs w:val="28"/>
        </w:rPr>
        <w:t>Такие результаты</w:t>
      </w:r>
      <w:r w:rsidRPr="00F772AE">
        <w:rPr>
          <w:sz w:val="28"/>
          <w:szCs w:val="28"/>
        </w:rPr>
        <w:t xml:space="preserve"> можно рассматривать как положительный момент. Однако одновременно резко выросла группа выпускников, набравших </w:t>
      </w:r>
      <w:r w:rsidRPr="00F772AE">
        <w:rPr>
          <w:rStyle w:val="a7"/>
          <w:rFonts w:eastAsia="SimSun"/>
          <w:b w:val="0"/>
          <w:sz w:val="28"/>
          <w:szCs w:val="28"/>
        </w:rPr>
        <w:t>от минимального балла до 60</w:t>
      </w:r>
      <w:r w:rsidRPr="00F772AE">
        <w:rPr>
          <w:sz w:val="28"/>
          <w:szCs w:val="28"/>
        </w:rPr>
        <w:t xml:space="preserve"> </w:t>
      </w:r>
      <w:r w:rsidR="000B4D77" w:rsidRPr="00F772AE">
        <w:rPr>
          <w:sz w:val="28"/>
          <w:szCs w:val="28"/>
        </w:rPr>
        <w:t>–</w:t>
      </w:r>
      <w:r w:rsidRPr="00F772AE">
        <w:rPr>
          <w:sz w:val="28"/>
          <w:szCs w:val="28"/>
        </w:rPr>
        <w:t xml:space="preserve"> до 48,92 %. Это означает, что всё больше участников «удерживаются» на базовом уровне, не переходя в зону уверенных результатов.</w:t>
      </w:r>
    </w:p>
    <w:p w:rsidR="006E3E0E" w:rsidRPr="00F772AE" w:rsidRDefault="006E3E0E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 xml:space="preserve">Группа с баллами </w:t>
      </w:r>
      <w:r w:rsidRPr="00F772AE">
        <w:rPr>
          <w:rStyle w:val="a7"/>
          <w:rFonts w:eastAsia="SimSun"/>
          <w:b w:val="0"/>
          <w:sz w:val="28"/>
          <w:szCs w:val="28"/>
        </w:rPr>
        <w:t>61–80</w:t>
      </w:r>
      <w:r w:rsidRPr="00F772AE">
        <w:rPr>
          <w:sz w:val="28"/>
          <w:szCs w:val="28"/>
        </w:rPr>
        <w:t xml:space="preserve"> после роста в 2024 году вновь сократилась в 2025 году до 25,58 %. Особенно тревожным выглядит снижение доли </w:t>
      </w:r>
      <w:proofErr w:type="spellStart"/>
      <w:r w:rsidRPr="00F772AE">
        <w:rPr>
          <w:sz w:val="28"/>
          <w:szCs w:val="28"/>
        </w:rPr>
        <w:t>высокобалльников</w:t>
      </w:r>
      <w:proofErr w:type="spellEnd"/>
      <w:r w:rsidRPr="00F772AE">
        <w:rPr>
          <w:sz w:val="28"/>
          <w:szCs w:val="28"/>
        </w:rPr>
        <w:t xml:space="preserve">: в 2025 году результаты </w:t>
      </w:r>
      <w:r w:rsidRPr="00F772AE">
        <w:rPr>
          <w:rStyle w:val="a7"/>
          <w:rFonts w:eastAsia="SimSun"/>
          <w:b w:val="0"/>
          <w:sz w:val="28"/>
          <w:szCs w:val="28"/>
        </w:rPr>
        <w:t>81–100 баллов</w:t>
      </w:r>
      <w:r w:rsidRPr="00F772AE">
        <w:rPr>
          <w:sz w:val="28"/>
          <w:szCs w:val="28"/>
        </w:rPr>
        <w:t xml:space="preserve"> показали лишь 2,7 % участников. Таким образом, общее улучшение показателей за счёт снижения «нулевой» зоны сопровождается сжатием верхнего сегмента результатов.</w:t>
      </w:r>
      <w:r w:rsidR="000B4D77" w:rsidRPr="00F772AE">
        <w:rPr>
          <w:sz w:val="28"/>
          <w:szCs w:val="28"/>
        </w:rPr>
        <w:t xml:space="preserve"> Представленные на рис. 4 результаты </w:t>
      </w:r>
      <w:r w:rsidR="00932B1C">
        <w:rPr>
          <w:sz w:val="28"/>
          <w:szCs w:val="28"/>
        </w:rPr>
        <w:t xml:space="preserve">демонстрируют </w:t>
      </w:r>
      <w:r w:rsidRPr="00F772AE">
        <w:rPr>
          <w:sz w:val="28"/>
          <w:szCs w:val="28"/>
        </w:rPr>
        <w:t>смещение основной массы участников в зону средне-низких баллов и сокращение доли сильных работ.</w:t>
      </w:r>
    </w:p>
    <w:p w:rsidR="008D0699" w:rsidRPr="00F772AE" w:rsidRDefault="006E3E0E" w:rsidP="003221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2AE">
        <w:rPr>
          <w:rFonts w:ascii="Times New Roman" w:hAnsi="Times New Roman" w:cs="Times New Roman"/>
          <w:sz w:val="28"/>
          <w:szCs w:val="28"/>
        </w:rPr>
        <w:t>Более детально структуру результатов позволяет рассмотреть распределение тестовых баллов участников ЕГЭ по обществознанию в 2025 году (рис.</w:t>
      </w:r>
      <w:r w:rsidR="000B4D77" w:rsidRPr="00F772AE">
        <w:rPr>
          <w:rFonts w:ascii="Times New Roman" w:hAnsi="Times New Roman" w:cs="Times New Roman"/>
          <w:sz w:val="28"/>
          <w:szCs w:val="28"/>
        </w:rPr>
        <w:t xml:space="preserve"> 5</w:t>
      </w:r>
      <w:r w:rsidRPr="00F772AE">
        <w:rPr>
          <w:rFonts w:ascii="Times New Roman" w:hAnsi="Times New Roman" w:cs="Times New Roman"/>
          <w:sz w:val="28"/>
          <w:szCs w:val="28"/>
        </w:rPr>
        <w:t>).</w:t>
      </w:r>
    </w:p>
    <w:p w:rsidR="008D0699" w:rsidRPr="00F772AE" w:rsidRDefault="008D0699" w:rsidP="003221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699" w:rsidRPr="00F772AE" w:rsidRDefault="008D0699" w:rsidP="00CC6E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2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E75BB" wp14:editId="45B74D97">
            <wp:extent cx="5577142" cy="1116824"/>
            <wp:effectExtent l="0" t="0" r="24130" b="2667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0699" w:rsidRPr="00F772AE" w:rsidRDefault="006E3E0E" w:rsidP="00CC6E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72AE">
        <w:rPr>
          <w:rFonts w:ascii="Times New Roman" w:hAnsi="Times New Roman" w:cs="Times New Roman"/>
          <w:sz w:val="28"/>
          <w:szCs w:val="28"/>
        </w:rPr>
        <w:t>Рис.</w:t>
      </w:r>
      <w:r w:rsidR="000B4D77" w:rsidRPr="00F772AE">
        <w:rPr>
          <w:rFonts w:ascii="Times New Roman" w:hAnsi="Times New Roman" w:cs="Times New Roman"/>
          <w:sz w:val="28"/>
          <w:szCs w:val="28"/>
        </w:rPr>
        <w:t xml:space="preserve"> 5. Р</w:t>
      </w:r>
      <w:r w:rsidRPr="00F772AE">
        <w:rPr>
          <w:rFonts w:ascii="Times New Roman" w:hAnsi="Times New Roman" w:cs="Times New Roman"/>
          <w:sz w:val="28"/>
          <w:szCs w:val="28"/>
        </w:rPr>
        <w:t xml:space="preserve">аспределения тестовых баллов участников ЕГЭ по обществознанию </w:t>
      </w:r>
      <w:r w:rsidR="005D3338">
        <w:rPr>
          <w:rFonts w:ascii="Times New Roman" w:hAnsi="Times New Roman" w:cs="Times New Roman"/>
          <w:sz w:val="28"/>
          <w:szCs w:val="28"/>
        </w:rPr>
        <w:t xml:space="preserve">в Кабардино-Балкарской Республике </w:t>
      </w:r>
      <w:r w:rsidRPr="00F772AE">
        <w:rPr>
          <w:rFonts w:ascii="Times New Roman" w:hAnsi="Times New Roman" w:cs="Times New Roman"/>
          <w:sz w:val="28"/>
          <w:szCs w:val="28"/>
        </w:rPr>
        <w:t>в 2025 г.</w:t>
      </w:r>
    </w:p>
    <w:p w:rsidR="000B4D77" w:rsidRPr="00F772AE" w:rsidRDefault="000B4D77" w:rsidP="003221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699" w:rsidRPr="00F772AE" w:rsidRDefault="000B4D77" w:rsidP="003221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2AE">
        <w:rPr>
          <w:rFonts w:ascii="Times New Roman" w:hAnsi="Times New Roman" w:cs="Times New Roman"/>
          <w:sz w:val="28"/>
          <w:szCs w:val="28"/>
        </w:rPr>
        <w:t>Данные, приведенные на рис. 5</w:t>
      </w:r>
      <w:r w:rsidR="00704FE1">
        <w:rPr>
          <w:rFonts w:ascii="Times New Roman" w:hAnsi="Times New Roman" w:cs="Times New Roman"/>
          <w:sz w:val="28"/>
          <w:szCs w:val="28"/>
        </w:rPr>
        <w:t xml:space="preserve"> демонстрирую</w:t>
      </w:r>
      <w:r w:rsidR="006E3E0E" w:rsidRPr="00F772AE">
        <w:rPr>
          <w:rFonts w:ascii="Times New Roman" w:hAnsi="Times New Roman" w:cs="Times New Roman"/>
          <w:sz w:val="28"/>
          <w:szCs w:val="28"/>
        </w:rPr>
        <w:t xml:space="preserve">т концентрацию результатов в диапазоне средних баллов с постепенным снижением частоты по мере приближения к высоким значениям. Зона высоких баллов представлена ограниченно, тогда как значительная часть участников находится в интервале, близком к минимальному порогу. Это указывает на </w:t>
      </w:r>
      <w:r w:rsidR="006E3E0E" w:rsidRPr="00F772AE">
        <w:rPr>
          <w:rFonts w:ascii="Times New Roman" w:hAnsi="Times New Roman" w:cs="Times New Roman"/>
          <w:sz w:val="28"/>
          <w:szCs w:val="28"/>
        </w:rPr>
        <w:lastRenderedPageBreak/>
        <w:t xml:space="preserve">преобладание базового уровня подготовки и недостаточную </w:t>
      </w:r>
      <w:proofErr w:type="spellStart"/>
      <w:r w:rsidR="006E3E0E" w:rsidRPr="00F772A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6E3E0E" w:rsidRPr="00F772AE">
        <w:rPr>
          <w:rFonts w:ascii="Times New Roman" w:hAnsi="Times New Roman" w:cs="Times New Roman"/>
          <w:sz w:val="28"/>
          <w:szCs w:val="28"/>
        </w:rPr>
        <w:t xml:space="preserve"> умений, необходимых для выполнения заданий повышенного и высокого уровня сложности.</w:t>
      </w:r>
    </w:p>
    <w:p w:rsidR="0032211E" w:rsidRPr="00F772AE" w:rsidRDefault="0032211E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 xml:space="preserve">Сопоставление результатов выполнения заданий КИМ ЕГЭ по обществознанию в различных группах участников </w:t>
      </w:r>
      <w:r w:rsidR="000B02B5">
        <w:rPr>
          <w:sz w:val="28"/>
          <w:szCs w:val="28"/>
        </w:rPr>
        <w:t xml:space="preserve">в Кабардино-Балкарской Республике </w:t>
      </w:r>
      <w:r w:rsidRPr="00F772AE">
        <w:rPr>
          <w:sz w:val="28"/>
          <w:szCs w:val="28"/>
        </w:rPr>
        <w:t xml:space="preserve">показывает чёткую дифференциацию как по уровню сложности заданий, так и по уровню подготовки выпускников. </w:t>
      </w:r>
      <w:r w:rsidR="000B4D77" w:rsidRPr="00F772AE">
        <w:rPr>
          <w:sz w:val="28"/>
          <w:szCs w:val="28"/>
        </w:rPr>
        <w:t>Такой вывод является ожидаемым</w:t>
      </w:r>
      <w:r w:rsidRPr="00F772AE">
        <w:rPr>
          <w:sz w:val="28"/>
          <w:szCs w:val="28"/>
        </w:rPr>
        <w:t>, однако внутри каждой группы заданий выделяются как наиболее успешные, так и проблемные позиции.</w:t>
      </w:r>
    </w:p>
    <w:p w:rsidR="0032211E" w:rsidRPr="00F772AE" w:rsidRDefault="000B4D77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>Комплексный анализ всех видов заданий позволяет утверждать, что выпускники выполняют</w:t>
      </w:r>
      <w:r w:rsidR="0032211E" w:rsidRPr="00F772AE">
        <w:rPr>
          <w:sz w:val="28"/>
          <w:szCs w:val="28"/>
        </w:rPr>
        <w:t xml:space="preserve"> базовые задания достаточно уверенно, особенно </w:t>
      </w:r>
      <w:r w:rsidRPr="00F772AE">
        <w:rPr>
          <w:sz w:val="28"/>
          <w:szCs w:val="28"/>
        </w:rPr>
        <w:t xml:space="preserve">это проявляется среди </w:t>
      </w:r>
      <w:r w:rsidR="0032211E" w:rsidRPr="00F772AE">
        <w:rPr>
          <w:sz w:val="28"/>
          <w:szCs w:val="28"/>
        </w:rPr>
        <w:t>участник</w:t>
      </w:r>
      <w:r w:rsidRPr="00F772AE">
        <w:rPr>
          <w:sz w:val="28"/>
          <w:szCs w:val="28"/>
        </w:rPr>
        <w:t>ов</w:t>
      </w:r>
      <w:r w:rsidR="0032211E" w:rsidRPr="00F772AE">
        <w:rPr>
          <w:sz w:val="28"/>
          <w:szCs w:val="28"/>
        </w:rPr>
        <w:t xml:space="preserve"> с результатами выше 60 баллов. Наиболее успешн</w:t>
      </w:r>
      <w:r w:rsidRPr="00F772AE">
        <w:rPr>
          <w:sz w:val="28"/>
          <w:szCs w:val="28"/>
        </w:rPr>
        <w:t xml:space="preserve">о </w:t>
      </w:r>
      <w:r w:rsidR="000B02B5">
        <w:rPr>
          <w:sz w:val="28"/>
          <w:szCs w:val="28"/>
        </w:rPr>
        <w:t xml:space="preserve">выпускники школ Кабардино-Балкарской Республики </w:t>
      </w:r>
      <w:r w:rsidRPr="00F772AE">
        <w:rPr>
          <w:sz w:val="28"/>
          <w:szCs w:val="28"/>
        </w:rPr>
        <w:t>выполн</w:t>
      </w:r>
      <w:r w:rsidR="000B02B5">
        <w:rPr>
          <w:sz w:val="28"/>
          <w:szCs w:val="28"/>
        </w:rPr>
        <w:t>или</w:t>
      </w:r>
      <w:r w:rsidR="0032211E" w:rsidRPr="00F772AE">
        <w:rPr>
          <w:sz w:val="28"/>
          <w:szCs w:val="28"/>
        </w:rPr>
        <w:t xml:space="preserve"> задания </w:t>
      </w:r>
      <w:r w:rsidR="0032211E" w:rsidRPr="00F772AE">
        <w:rPr>
          <w:rStyle w:val="a7"/>
          <w:rFonts w:eastAsia="SimSun"/>
          <w:b w:val="0"/>
          <w:sz w:val="28"/>
          <w:szCs w:val="28"/>
        </w:rPr>
        <w:t>№ 9, 17, 21</w:t>
      </w:r>
      <w:r w:rsidR="000B02B5">
        <w:rPr>
          <w:sz w:val="28"/>
          <w:szCs w:val="28"/>
        </w:rPr>
        <w:t>. В среднем их успешность составляет</w:t>
      </w:r>
      <w:r w:rsidR="0032211E" w:rsidRPr="00F772AE">
        <w:rPr>
          <w:sz w:val="28"/>
          <w:szCs w:val="28"/>
        </w:rPr>
        <w:t xml:space="preserve"> </w:t>
      </w:r>
      <w:r w:rsidRPr="00F772AE">
        <w:rPr>
          <w:sz w:val="28"/>
          <w:szCs w:val="28"/>
        </w:rPr>
        <w:t>73–84 %. При этом</w:t>
      </w:r>
      <w:r w:rsidR="0032211E" w:rsidRPr="00F772AE">
        <w:rPr>
          <w:sz w:val="28"/>
          <w:szCs w:val="28"/>
        </w:rPr>
        <w:t xml:space="preserve"> в группе 81–100 баллов показатели близки к максимальным. Эти задания демонстрируют хорошую дифференцирующую способность и устойчиво осваиваются большинством выпускников.</w:t>
      </w:r>
    </w:p>
    <w:p w:rsidR="0032211E" w:rsidRPr="00F772AE" w:rsidRDefault="0032211E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 xml:space="preserve">В то же время внутри базового уровня отчётливо выделяется группа проблемных заданий </w:t>
      </w:r>
      <w:r w:rsidR="000B4D77" w:rsidRPr="00F772AE">
        <w:rPr>
          <w:sz w:val="28"/>
          <w:szCs w:val="28"/>
        </w:rPr>
        <w:t>–</w:t>
      </w:r>
      <w:r w:rsidRPr="00F772AE">
        <w:rPr>
          <w:sz w:val="28"/>
          <w:szCs w:val="28"/>
        </w:rPr>
        <w:t xml:space="preserve"> </w:t>
      </w:r>
      <w:r w:rsidRPr="00F772AE">
        <w:rPr>
          <w:rStyle w:val="a7"/>
          <w:rFonts w:eastAsia="SimSun"/>
          <w:b w:val="0"/>
          <w:sz w:val="28"/>
          <w:szCs w:val="28"/>
        </w:rPr>
        <w:t>№ 3, 6, 18, 23</w:t>
      </w:r>
      <w:r w:rsidRPr="00F772AE">
        <w:rPr>
          <w:sz w:val="28"/>
          <w:szCs w:val="28"/>
        </w:rPr>
        <w:t xml:space="preserve">, где средний процент выполнения не превышает 50 %. Особенно показательно задание </w:t>
      </w:r>
      <w:r w:rsidRPr="00F772AE">
        <w:rPr>
          <w:rStyle w:val="a7"/>
          <w:rFonts w:eastAsia="SimSun"/>
          <w:b w:val="0"/>
          <w:sz w:val="28"/>
          <w:szCs w:val="28"/>
        </w:rPr>
        <w:t>№ 18 К1</w:t>
      </w:r>
      <w:r w:rsidRPr="00F772AE">
        <w:rPr>
          <w:sz w:val="28"/>
          <w:szCs w:val="28"/>
        </w:rPr>
        <w:t>, которое формально относится к базовому уровню, но характеризуется низкими результатами даже у средней группы</w:t>
      </w:r>
      <w:r w:rsidR="00A673CE">
        <w:rPr>
          <w:sz w:val="28"/>
          <w:szCs w:val="28"/>
        </w:rPr>
        <w:t xml:space="preserve"> в</w:t>
      </w:r>
      <w:r w:rsidR="00DD462F">
        <w:rPr>
          <w:sz w:val="28"/>
          <w:szCs w:val="28"/>
        </w:rPr>
        <w:t>ыпускников школ Кабардино-Балкар</w:t>
      </w:r>
      <w:r w:rsidR="00A673CE">
        <w:rPr>
          <w:sz w:val="28"/>
          <w:szCs w:val="28"/>
        </w:rPr>
        <w:t>ской Республики</w:t>
      </w:r>
      <w:r w:rsidRPr="00F772AE">
        <w:rPr>
          <w:sz w:val="28"/>
          <w:szCs w:val="28"/>
        </w:rPr>
        <w:t xml:space="preserve">. </w:t>
      </w:r>
      <w:r w:rsidR="000B4D77" w:rsidRPr="00F772AE">
        <w:rPr>
          <w:sz w:val="28"/>
          <w:szCs w:val="28"/>
        </w:rPr>
        <w:t>Выявленный дефицит</w:t>
      </w:r>
      <w:r w:rsidRPr="00F772AE">
        <w:rPr>
          <w:sz w:val="28"/>
          <w:szCs w:val="28"/>
        </w:rPr>
        <w:t xml:space="preserve"> указывает на трудности не столько в воспроизведении знаний, сколько в понимании условий и требований задания.</w:t>
      </w:r>
    </w:p>
    <w:p w:rsidR="0032211E" w:rsidRPr="00F772AE" w:rsidRDefault="0032211E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 xml:space="preserve">Задания повышенного уровня демонстрируют заметный разброс результатов. Наиболее успешными являются </w:t>
      </w:r>
      <w:r w:rsidRPr="00F772AE">
        <w:rPr>
          <w:rStyle w:val="a7"/>
          <w:rFonts w:eastAsia="SimSun"/>
          <w:b w:val="0"/>
          <w:sz w:val="28"/>
          <w:szCs w:val="28"/>
        </w:rPr>
        <w:t>№ 4, 7, 10, 16</w:t>
      </w:r>
      <w:r w:rsidRPr="00F772AE">
        <w:rPr>
          <w:sz w:val="28"/>
          <w:szCs w:val="28"/>
        </w:rPr>
        <w:t>, где средние показатели превышают 65–70 %, а в группах 61–80 и 81–100 баллов наблюдается уверенное выполнение. Эти задания хорошо дифференцируют участников и в целом соответствуют ожидаемому уровню сложности.</w:t>
      </w:r>
      <w:r w:rsidR="000B4D77" w:rsidRPr="00F772AE">
        <w:rPr>
          <w:sz w:val="28"/>
          <w:szCs w:val="28"/>
        </w:rPr>
        <w:t xml:space="preserve"> </w:t>
      </w:r>
      <w:r w:rsidRPr="00F772AE">
        <w:rPr>
          <w:sz w:val="28"/>
          <w:szCs w:val="28"/>
        </w:rPr>
        <w:lastRenderedPageBreak/>
        <w:t xml:space="preserve">Наименее успешными в данной группе являются </w:t>
      </w:r>
      <w:r w:rsidRPr="00F772AE">
        <w:rPr>
          <w:rStyle w:val="a7"/>
          <w:rFonts w:eastAsia="SimSun"/>
          <w:b w:val="0"/>
          <w:sz w:val="28"/>
          <w:szCs w:val="28"/>
        </w:rPr>
        <w:t>№ 2, 5, 11, 14</w:t>
      </w:r>
      <w:r w:rsidR="000B4D77" w:rsidRPr="00F772AE">
        <w:rPr>
          <w:sz w:val="28"/>
          <w:szCs w:val="28"/>
        </w:rPr>
        <w:t>. Их</w:t>
      </w:r>
      <w:r w:rsidRPr="00F772AE">
        <w:rPr>
          <w:sz w:val="28"/>
          <w:szCs w:val="28"/>
        </w:rPr>
        <w:t xml:space="preserve"> средний процент выполнения колеблется в пределах 44–54 %. При этом значительная доля ошибок фиксируется не только у слабых, н</w:t>
      </w:r>
      <w:r w:rsidR="000B4D77" w:rsidRPr="00F772AE">
        <w:rPr>
          <w:sz w:val="28"/>
          <w:szCs w:val="28"/>
        </w:rPr>
        <w:t>о и у участников средней группы.</w:t>
      </w:r>
      <w:r w:rsidRPr="00F772AE">
        <w:rPr>
          <w:sz w:val="28"/>
          <w:szCs w:val="28"/>
        </w:rPr>
        <w:t xml:space="preserve"> </w:t>
      </w:r>
      <w:r w:rsidR="000B4D77" w:rsidRPr="00F772AE">
        <w:rPr>
          <w:sz w:val="28"/>
          <w:szCs w:val="28"/>
        </w:rPr>
        <w:t>Приведенные показатели</w:t>
      </w:r>
      <w:r w:rsidRPr="00F772AE">
        <w:rPr>
          <w:sz w:val="28"/>
          <w:szCs w:val="28"/>
        </w:rPr>
        <w:t xml:space="preserve"> свидетельствует о недостаточной </w:t>
      </w:r>
      <w:proofErr w:type="spellStart"/>
      <w:r w:rsidRPr="00F772AE">
        <w:rPr>
          <w:sz w:val="28"/>
          <w:szCs w:val="28"/>
        </w:rPr>
        <w:t>сформированности</w:t>
      </w:r>
      <w:proofErr w:type="spellEnd"/>
      <w:r w:rsidRPr="00F772AE">
        <w:rPr>
          <w:sz w:val="28"/>
          <w:szCs w:val="28"/>
        </w:rPr>
        <w:t xml:space="preserve"> аналитических умений и поверхностном усвоении теоретического материала.</w:t>
      </w:r>
    </w:p>
    <w:p w:rsidR="0032211E" w:rsidRPr="00F772AE" w:rsidRDefault="0032211E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 xml:space="preserve">Задания высокого уровня характеризуются наиболее низкими результатами и максимальной дифференциацией. Наименее успешными являются задания </w:t>
      </w:r>
      <w:r w:rsidRPr="00F772AE">
        <w:rPr>
          <w:rStyle w:val="a7"/>
          <w:rFonts w:eastAsia="SimSun"/>
          <w:b w:val="0"/>
          <w:sz w:val="28"/>
          <w:szCs w:val="28"/>
        </w:rPr>
        <w:t>№ 24</w:t>
      </w:r>
      <w:r w:rsidR="000B4D77" w:rsidRPr="00F772AE">
        <w:rPr>
          <w:rStyle w:val="a7"/>
          <w:rFonts w:eastAsia="SimSun"/>
          <w:b w:val="0"/>
          <w:sz w:val="28"/>
          <w:szCs w:val="28"/>
        </w:rPr>
        <w:t>.2</w:t>
      </w:r>
      <w:r w:rsidRPr="00F772AE">
        <w:rPr>
          <w:rStyle w:val="a7"/>
          <w:rFonts w:eastAsia="SimSun"/>
          <w:b w:val="0"/>
          <w:sz w:val="28"/>
          <w:szCs w:val="28"/>
        </w:rPr>
        <w:t xml:space="preserve"> </w:t>
      </w:r>
      <w:r w:rsidRPr="00F772AE">
        <w:rPr>
          <w:sz w:val="28"/>
          <w:szCs w:val="28"/>
        </w:rPr>
        <w:t xml:space="preserve">и </w:t>
      </w:r>
      <w:r w:rsidRPr="00F772AE">
        <w:rPr>
          <w:rStyle w:val="a7"/>
          <w:rFonts w:eastAsia="SimSun"/>
          <w:b w:val="0"/>
          <w:sz w:val="28"/>
          <w:szCs w:val="28"/>
        </w:rPr>
        <w:t>№ 25.3</w:t>
      </w:r>
      <w:r w:rsidR="000B4D77" w:rsidRPr="00F772AE">
        <w:rPr>
          <w:sz w:val="28"/>
          <w:szCs w:val="28"/>
        </w:rPr>
        <w:t xml:space="preserve"> Их средний процент </w:t>
      </w:r>
      <w:r w:rsidRPr="00F772AE">
        <w:rPr>
          <w:sz w:val="28"/>
          <w:szCs w:val="28"/>
        </w:rPr>
        <w:t>выполнения не превышает 13 %, а доля максимальных результатов остаётся минимальной даже в группе сильных участников. Эти задания выявляют системные дефициты в умении структурировать материал, выстраивать логически связный ответ и аргументировать свою позицию.</w:t>
      </w:r>
    </w:p>
    <w:p w:rsidR="0032211E" w:rsidRPr="00F772AE" w:rsidRDefault="0032211E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 xml:space="preserve">Относительно более успешно в группе высокого уровня выполняются задания </w:t>
      </w:r>
      <w:r w:rsidRPr="00F772AE">
        <w:rPr>
          <w:rStyle w:val="a7"/>
          <w:rFonts w:eastAsia="SimSun"/>
          <w:b w:val="0"/>
          <w:sz w:val="28"/>
          <w:szCs w:val="28"/>
        </w:rPr>
        <w:t>№ 19 и 25.2</w:t>
      </w:r>
      <w:r w:rsidR="00E40775" w:rsidRPr="00F772AE">
        <w:rPr>
          <w:sz w:val="28"/>
          <w:szCs w:val="28"/>
        </w:rPr>
        <w:t xml:space="preserve">. Но даже </w:t>
      </w:r>
      <w:r w:rsidRPr="00F772AE">
        <w:rPr>
          <w:sz w:val="28"/>
          <w:szCs w:val="28"/>
        </w:rPr>
        <w:t>и по ним сохраняется значительный разрыв между средней и сильной группами</w:t>
      </w:r>
      <w:r w:rsidR="00E40775" w:rsidRPr="00F772AE">
        <w:rPr>
          <w:sz w:val="28"/>
          <w:szCs w:val="28"/>
        </w:rPr>
        <w:t>.</w:t>
      </w:r>
    </w:p>
    <w:p w:rsidR="0032211E" w:rsidRPr="00F772AE" w:rsidRDefault="00E40775" w:rsidP="003221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72AE">
        <w:rPr>
          <w:sz w:val="28"/>
          <w:szCs w:val="28"/>
        </w:rPr>
        <w:t xml:space="preserve">Для проведения дальнейшего исследования и </w:t>
      </w:r>
      <w:r w:rsidR="0032211E" w:rsidRPr="00F772AE">
        <w:rPr>
          <w:sz w:val="28"/>
          <w:szCs w:val="28"/>
        </w:rPr>
        <w:t xml:space="preserve">для разбора типичных ошибок целесообразно опираться не на крайние, а на </w:t>
      </w:r>
      <w:r w:rsidR="0032211E" w:rsidRPr="00F772AE">
        <w:rPr>
          <w:rStyle w:val="a7"/>
          <w:rFonts w:eastAsia="SimSun"/>
          <w:b w:val="0"/>
          <w:sz w:val="28"/>
          <w:szCs w:val="28"/>
        </w:rPr>
        <w:t>дифференцирующие задания</w:t>
      </w:r>
      <w:r w:rsidR="0032211E" w:rsidRPr="00F772AE">
        <w:rPr>
          <w:sz w:val="28"/>
          <w:szCs w:val="28"/>
        </w:rPr>
        <w:t>, вызывающие затруднения у значительной части выпускников при сохранении по</w:t>
      </w:r>
      <w:r w:rsidRPr="00F772AE">
        <w:rPr>
          <w:sz w:val="28"/>
          <w:szCs w:val="28"/>
        </w:rPr>
        <w:t xml:space="preserve">тенциала роста. К ним относятся </w:t>
      </w:r>
      <w:r w:rsidR="0032211E" w:rsidRPr="00F772AE">
        <w:rPr>
          <w:sz w:val="28"/>
          <w:szCs w:val="28"/>
        </w:rPr>
        <w:t xml:space="preserve">на базовом уровне </w:t>
      </w:r>
      <w:r w:rsidRPr="00F772AE">
        <w:rPr>
          <w:sz w:val="28"/>
          <w:szCs w:val="28"/>
        </w:rPr>
        <w:t xml:space="preserve">задания </w:t>
      </w:r>
      <w:r w:rsidR="0032211E" w:rsidRPr="00F772AE">
        <w:rPr>
          <w:rStyle w:val="a7"/>
          <w:rFonts w:eastAsia="SimSun"/>
          <w:b w:val="0"/>
          <w:sz w:val="28"/>
          <w:szCs w:val="28"/>
        </w:rPr>
        <w:t>№ 6 и 18</w:t>
      </w:r>
      <w:r w:rsidR="00932B1C">
        <w:rPr>
          <w:sz w:val="28"/>
          <w:szCs w:val="28"/>
        </w:rPr>
        <w:t>, н</w:t>
      </w:r>
      <w:r w:rsidRPr="00F772AE">
        <w:rPr>
          <w:sz w:val="28"/>
          <w:szCs w:val="28"/>
        </w:rPr>
        <w:t xml:space="preserve">а повышенном </w:t>
      </w:r>
      <w:r w:rsidR="000B4D77" w:rsidRPr="00F772AE">
        <w:rPr>
          <w:sz w:val="28"/>
          <w:szCs w:val="28"/>
        </w:rPr>
        <w:t>–</w:t>
      </w:r>
      <w:r w:rsidR="0032211E" w:rsidRPr="00F772AE">
        <w:rPr>
          <w:sz w:val="28"/>
          <w:szCs w:val="28"/>
        </w:rPr>
        <w:t xml:space="preserve"> </w:t>
      </w:r>
      <w:r w:rsidR="0032211E" w:rsidRPr="00F772AE">
        <w:rPr>
          <w:rStyle w:val="a7"/>
          <w:rFonts w:eastAsia="SimSun"/>
          <w:b w:val="0"/>
          <w:sz w:val="28"/>
          <w:szCs w:val="28"/>
        </w:rPr>
        <w:t>№ 5</w:t>
      </w:r>
      <w:r w:rsidRPr="00F772AE">
        <w:rPr>
          <w:sz w:val="28"/>
          <w:szCs w:val="28"/>
        </w:rPr>
        <w:t>, н</w:t>
      </w:r>
      <w:r w:rsidR="0032211E" w:rsidRPr="00F772AE">
        <w:rPr>
          <w:sz w:val="28"/>
          <w:szCs w:val="28"/>
        </w:rPr>
        <w:t xml:space="preserve">а высоком уровне </w:t>
      </w:r>
      <w:r w:rsidR="000B4D77" w:rsidRPr="00F772AE">
        <w:rPr>
          <w:sz w:val="28"/>
          <w:szCs w:val="28"/>
        </w:rPr>
        <w:t>–</w:t>
      </w:r>
      <w:r w:rsidR="0032211E" w:rsidRPr="00F772AE">
        <w:rPr>
          <w:sz w:val="28"/>
          <w:szCs w:val="28"/>
        </w:rPr>
        <w:t xml:space="preserve"> </w:t>
      </w:r>
      <w:r w:rsidR="0032211E" w:rsidRPr="00F772AE">
        <w:rPr>
          <w:rStyle w:val="a7"/>
          <w:rFonts w:eastAsia="SimSun"/>
          <w:b w:val="0"/>
          <w:sz w:val="28"/>
          <w:szCs w:val="28"/>
        </w:rPr>
        <w:t>№ 24</w:t>
      </w:r>
      <w:r w:rsidR="0032211E" w:rsidRPr="00F772AE">
        <w:rPr>
          <w:sz w:val="28"/>
          <w:szCs w:val="28"/>
        </w:rPr>
        <w:t>.</w:t>
      </w:r>
      <w:r w:rsidRPr="00F772AE">
        <w:rPr>
          <w:sz w:val="28"/>
          <w:szCs w:val="28"/>
        </w:rPr>
        <w:t xml:space="preserve"> </w:t>
      </w:r>
      <w:r w:rsidR="0032211E" w:rsidRPr="00F772AE">
        <w:rPr>
          <w:sz w:val="28"/>
          <w:szCs w:val="28"/>
        </w:rPr>
        <w:t>Именно эти задания позволяют наиболее наглядно выявить характерные дефициты подготовки и определить направления методической работы на последующий экзаменационный цикл.</w:t>
      </w:r>
    </w:p>
    <w:p w:rsidR="008D0699" w:rsidRPr="00F772AE" w:rsidRDefault="0037484B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детального рассмотрения типичных ошибок представляется целесообразным обратиться к конкретным заданиям открытого варианта КИМ 2025 г., апробированного в регионе. В качестве иллюстрации будут проанализированы по одному заданию базового, повышенного и высокого уровней сложности. Такой подход позволяет не только зафиксировать статистические дефициты, но и выявить их содержательные причины.</w:t>
      </w:r>
      <w:r w:rsidR="00F772AE" w:rsidRP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качестве примера базового уровня сложности рассмотрим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шестое задание КИМ ЕГЭ по обществознанию 2025 г.</w:t>
      </w:r>
      <w:r w:rsidRP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средний процент выполнения которого в Кабардино-Балкарской Республике составил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48,06 %</w:t>
      </w:r>
      <w:r w:rsidRP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</w:t>
      </w:r>
      <w:r w:rsidR="00F772AE" w:rsidRP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1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7484B" w:rsidRPr="00F772AE" w:rsidRDefault="0037484B" w:rsidP="00CC6E81">
      <w:pPr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772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287EB6" wp14:editId="4091D253">
            <wp:extent cx="4573270" cy="2744470"/>
            <wp:effectExtent l="0" t="0" r="17780" b="1778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7484B" w:rsidRPr="00F772AE" w:rsidRDefault="0037484B" w:rsidP="00CC6E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72AE">
        <w:rPr>
          <w:rFonts w:ascii="Times New Roman" w:hAnsi="Times New Roman" w:cs="Times New Roman"/>
          <w:sz w:val="28"/>
          <w:szCs w:val="28"/>
        </w:rPr>
        <w:t>Рис.</w:t>
      </w:r>
      <w:r w:rsidR="00F772AE" w:rsidRPr="00F772AE">
        <w:rPr>
          <w:rFonts w:ascii="Times New Roman" w:hAnsi="Times New Roman" w:cs="Times New Roman"/>
          <w:sz w:val="28"/>
          <w:szCs w:val="28"/>
        </w:rPr>
        <w:t xml:space="preserve"> </w:t>
      </w:r>
      <w:r w:rsidR="00AE6160">
        <w:rPr>
          <w:rFonts w:ascii="Times New Roman" w:hAnsi="Times New Roman" w:cs="Times New Roman"/>
          <w:sz w:val="28"/>
          <w:szCs w:val="28"/>
        </w:rPr>
        <w:t>6</w:t>
      </w:r>
      <w:r w:rsidR="00F772AE" w:rsidRPr="00F772AE">
        <w:rPr>
          <w:rFonts w:ascii="Times New Roman" w:hAnsi="Times New Roman" w:cs="Times New Roman"/>
          <w:sz w:val="28"/>
          <w:szCs w:val="28"/>
        </w:rPr>
        <w:t>. Результаты выполнения задания № 6 базового уровня</w:t>
      </w:r>
      <w:r w:rsidR="00F772AE">
        <w:rPr>
          <w:rFonts w:ascii="Times New Roman" w:hAnsi="Times New Roman" w:cs="Times New Roman"/>
          <w:sz w:val="28"/>
          <w:szCs w:val="28"/>
        </w:rPr>
        <w:t xml:space="preserve"> КИМ ЕГЭ по обществознанию в 2025 г.</w:t>
      </w:r>
    </w:p>
    <w:p w:rsidR="0037484B" w:rsidRPr="00F772AE" w:rsidRDefault="0037484B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84B" w:rsidRPr="0037484B" w:rsidRDefault="0037484B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r w:rsid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 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проверяло умение классифицировать издержки фирмы в краткосрочном периоде на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постоянные и переменные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устанавливая соответствие между примерами затрат и их видом. </w:t>
      </w:r>
      <w:r w:rsid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данным, приведенным на рис. </w:t>
      </w:r>
      <w:r w:rsidR="00AE61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видно, что, н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есмотря на базовый уровень сложности, результаты показали значительные затруднения у выпускников. Доля нулевых результатов составила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19,07 %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участников, не преодолевших минимальный </w:t>
      </w:r>
      <w:r w:rsid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порог. Для другой группы (</w:t>
      </w:r>
      <w:r w:rsidR="00F772AE"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результатами от минимального порога до 60 баллов</w:t>
      </w:r>
      <w:r w:rsid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успешность выполнения составила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20,51 %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Даже в группе 61–80 баллов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2,63 %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не справились с заданием.</w:t>
      </w:r>
    </w:p>
    <w:p w:rsidR="0037484B" w:rsidRPr="0037484B" w:rsidRDefault="0037484B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результат продемонстрировали лишь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1,18 %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слабых участников и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17,03 %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группы до 60</w:t>
      </w:r>
      <w:r w:rsid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Эти данные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B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 ограниченную </w:t>
      </w:r>
      <w:proofErr w:type="spellStart"/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умения у значительной части экзаменуемых. Наиболее распространённой ошибкой стало неверное отнесение затрат к одному типу без учёта их зависимости от </w:t>
      </w: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объёма производства, что свидетельствует о формальном усвоении экономических понятий.</w:t>
      </w:r>
    </w:p>
    <w:p w:rsidR="0037484B" w:rsidRPr="0037484B" w:rsidRDefault="0037484B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резервы повышения результатов сосредоточены в группе участников с результатами до 60 баллов, где доля неполных и нулевых ответов превышает треть. Для устранения выявленных дефицитов требуется систематическая отработка классификации издержек на протяжении всего курса обществознания с акцентом на экономический смысл понятий и работу с заданиями формата ЕГЭ.</w:t>
      </w:r>
    </w:p>
    <w:p w:rsidR="00D975DF" w:rsidRPr="00F772AE" w:rsidRDefault="00D975DF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примера задания повышенного уровня рассмотрим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пятое задание открытого варианта КИМ ЕГЭ по обществознанию 2025 г.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средний процент выполнения которого в Кабардино-Балкарской Республике составил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44,64 %</w:t>
      </w:r>
      <w:r w:rsid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6).</w:t>
      </w:r>
    </w:p>
    <w:p w:rsidR="00D975DF" w:rsidRPr="00F772AE" w:rsidRDefault="00D975DF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5DF" w:rsidRPr="00F772AE" w:rsidRDefault="00D975DF" w:rsidP="00CC6E81">
      <w:pPr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772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3E9B8F" wp14:editId="3DE29BE2">
            <wp:extent cx="4573270" cy="2744470"/>
            <wp:effectExtent l="0" t="0" r="17780" b="1778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72AE" w:rsidRPr="00F772AE" w:rsidRDefault="00F772AE" w:rsidP="00CC6E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72AE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160">
        <w:rPr>
          <w:rFonts w:ascii="Times New Roman" w:hAnsi="Times New Roman" w:cs="Times New Roman"/>
          <w:sz w:val="28"/>
          <w:szCs w:val="28"/>
        </w:rPr>
        <w:t>7</w:t>
      </w:r>
      <w:r w:rsidRPr="00F772AE">
        <w:rPr>
          <w:rFonts w:ascii="Times New Roman" w:hAnsi="Times New Roman" w:cs="Times New Roman"/>
          <w:sz w:val="28"/>
          <w:szCs w:val="28"/>
        </w:rPr>
        <w:t xml:space="preserve">. Результаты выполнения задания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72AE">
        <w:rPr>
          <w:rFonts w:ascii="Times New Roman" w:hAnsi="Times New Roman" w:cs="Times New Roman"/>
          <w:sz w:val="28"/>
          <w:szCs w:val="28"/>
        </w:rPr>
        <w:t xml:space="preserve"> </w:t>
      </w:r>
      <w:r w:rsidR="00932B1C">
        <w:rPr>
          <w:rFonts w:ascii="Times New Roman" w:hAnsi="Times New Roman" w:cs="Times New Roman"/>
          <w:sz w:val="28"/>
          <w:szCs w:val="28"/>
        </w:rPr>
        <w:t>повышенного</w:t>
      </w:r>
      <w:r w:rsidRPr="00F772AE">
        <w:rPr>
          <w:rFonts w:ascii="Times New Roman" w:hAnsi="Times New Roman" w:cs="Times New Roman"/>
          <w:sz w:val="28"/>
          <w:szCs w:val="28"/>
        </w:rPr>
        <w:t xml:space="preserve"> уровня</w:t>
      </w:r>
      <w:r>
        <w:rPr>
          <w:rFonts w:ascii="Times New Roman" w:hAnsi="Times New Roman" w:cs="Times New Roman"/>
          <w:sz w:val="28"/>
          <w:szCs w:val="28"/>
        </w:rPr>
        <w:t xml:space="preserve"> КИМ ЕГЭ по обществознанию в 2025 г.</w:t>
      </w:r>
    </w:p>
    <w:p w:rsidR="00D975DF" w:rsidRPr="00D975DF" w:rsidRDefault="00D975DF" w:rsidP="00182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DF" w:rsidRPr="00D975DF" w:rsidRDefault="00D975DF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проверяло знание понятий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занятости и безработицы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понимание характеристик различных видов безработицы и мер государственной политики в сфере занятости. Экзаменуемым необходимо было выбрать верные суждения, касающиеся предложения рабочей силы, форм безработицы и инструментов содействия занятости.</w:t>
      </w:r>
    </w:p>
    <w:p w:rsidR="00D975DF" w:rsidRPr="00D975DF" w:rsidRDefault="00D975DF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Результаты выполнения выявили существенные затруднения у значительной части выпускников. </w:t>
      </w:r>
      <w:r w:rsid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данным, приведенным на рис. </w:t>
      </w:r>
      <w:r w:rsidR="00AE616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772AE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нулевых результатов составила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14,53 %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участников, не преодолевших минимальный порог, и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17,09 %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с результатами от минимального порога до 60 баллов. Даже в группе 61–80 баллов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2,50 %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не справились с заданием. Максимальный результат показали лишь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8,55 %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группы до 60 баллов и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12,29 %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61–80 баллов.</w:t>
      </w:r>
    </w:p>
    <w:p w:rsidR="00D975DF" w:rsidRPr="00D975DF" w:rsidRDefault="00D975DF" w:rsidP="00CC2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ответов свидетельствует о типичных ошибках, связанных с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смешением спроса и предложения на рынке труда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некорректным пониманием полной занятости, а также поверхностным знанием отдельных видов безработицы и мер государственной политики. Даже у относительно подготовленных участников наблюдается формальный подход к отбору верных суждений без опоры на экономический смысл понятий.</w:t>
      </w:r>
    </w:p>
    <w:p w:rsidR="00CC2BB1" w:rsidRPr="00CC2BB1" w:rsidRDefault="00D975DF" w:rsidP="00CC2BB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75DF">
        <w:rPr>
          <w:sz w:val="28"/>
          <w:szCs w:val="28"/>
        </w:rPr>
        <w:t>Основные резервы повышения результатов сосредоточены в группе выпускни</w:t>
      </w:r>
      <w:r w:rsidR="00F772AE" w:rsidRPr="00CC2BB1">
        <w:rPr>
          <w:sz w:val="28"/>
          <w:szCs w:val="28"/>
        </w:rPr>
        <w:t>ков с результатами до 60 баллов</w:t>
      </w:r>
      <w:r w:rsidR="00CC2BB1" w:rsidRPr="00CC2BB1">
        <w:rPr>
          <w:sz w:val="28"/>
          <w:szCs w:val="28"/>
        </w:rPr>
        <w:t>.</w:t>
      </w:r>
      <w:r w:rsidR="00F772AE" w:rsidRPr="00CC2BB1">
        <w:rPr>
          <w:sz w:val="28"/>
          <w:szCs w:val="28"/>
        </w:rPr>
        <w:t xml:space="preserve"> В данной группе выпускников </w:t>
      </w:r>
      <w:r w:rsidRPr="00D975DF">
        <w:rPr>
          <w:sz w:val="28"/>
          <w:szCs w:val="28"/>
        </w:rPr>
        <w:t xml:space="preserve">доля нулевых и частичных ответов превышает треть. </w:t>
      </w:r>
      <w:r w:rsidR="00CC2BB1" w:rsidRPr="00CC2BB1">
        <w:rPr>
          <w:sz w:val="28"/>
          <w:szCs w:val="28"/>
        </w:rPr>
        <w:t>Наибольший потенциал повышения результатов по данному заданию связан не с расширением объёма теоретических сведений, а с формированием у обучающихся осмысленного понимания логики функционирования рынка труда. В первую очередь речь идёт о чётком разграничении спроса и предложения рабочей силы и осознании причинно-следственных связей между видами безработицы и мерами государственной политики занятости. Характер допущенных ошибок показывает, что значительная часть выпускников располагает фрагментарными знаниями, но испытывает трудности при их применении в аналитической ситуации выбора суждений.</w:t>
      </w:r>
    </w:p>
    <w:p w:rsidR="00CC2BB1" w:rsidRPr="00CC2BB1" w:rsidRDefault="00CC2BB1" w:rsidP="00CC2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Целенаправленная работа с экономическим смыслом понятий, а также систематическая отработка заданий на выявление логических связей между экономическими явлениями способны существенно сократить долю нулевых и частичных ответов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в группе выпускников с результатами до </w:t>
      </w:r>
      <w:r w:rsidRPr="00CC2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60 баллов. Вместе с тем и в группе 61–80 баллов сохраняется ощутимый резерв роста, поскольку даже у этих участников ошибки носят преимущественно формальный характер и поддаются коррекции при адресной методической работе. В результате можно ожидать не только повышения среднего уровня выполнения задания, но и более устойчивого перехода части выпускников из зоны средних результатов в группу с высокими баллами.</w:t>
      </w:r>
    </w:p>
    <w:p w:rsidR="00D975DF" w:rsidRPr="00D975DF" w:rsidRDefault="00D975DF" w:rsidP="00CC2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примера задания высокого уровня рассмотрим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двадцать четвёртое задание открытого варианта КИМ ЕГЭ по обществознанию 2025 г.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связанное с составлением сложного плана по теме «Государство как субъект экономики в условиях рынка». Задание оценивалось по двум критериям (24.1 и 24.2), при этом средние показатели выполнения оставались крайне низкими.</w:t>
      </w:r>
    </w:p>
    <w:p w:rsidR="00D975DF" w:rsidRPr="00D975DF" w:rsidRDefault="00D975DF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критерию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24.1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(полнота и содержание плана) доля нулевых результатов составила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21,89 %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участников, не преодолевших минимальный порог, и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41,35 %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с результатами от минимального порога до 60 баллов. Даже в группе 61–80 баллов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14,66 %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получили 0 баллов. Максимальный результат продемонстрировали единичные участники во всех группах.</w:t>
      </w:r>
    </w:p>
    <w:p w:rsidR="00D975DF" w:rsidRPr="00D975DF" w:rsidRDefault="00D975DF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критерию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24.2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(логичность и структура плана) ситуация оказалась ещё более проблемной: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47,86 %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группы до 60 баллов и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22,68 %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слабых выпускников не получили ни одного балла. Доля максимальных результатов в группах 61–80 и 81–100 баллов не превышала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1–2 %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свидетельствует о системном характере затруднений.</w:t>
      </w:r>
    </w:p>
    <w:p w:rsidR="00D975DF" w:rsidRPr="00D975DF" w:rsidRDefault="00D975DF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 связаны с недостаточным количеством пунктов и подпунктов, отсутствием раскрытия ключевых аспектов темы, нарушением логической последовательности и формулировкой пунктов в виде общих заголовков, не отражающих содержания. В ряде работ не соблюдались базовые требования к структуре сложного плана.</w:t>
      </w:r>
    </w:p>
    <w:p w:rsidR="00D975DF" w:rsidRPr="00D975DF" w:rsidRDefault="00D975DF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резервы повышения результатов по заданию 24 сосредоточены среди участников, набравших от минимального порога до 60 баллов, однако значительный потенциал роста сохраняется и в группе 61–80 баллов. Это указывает на необходимость целенаправленного формирования у обучающихся навыков </w:t>
      </w:r>
      <w:r w:rsidRPr="00F7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структурирования теоретического материала и логического планирования письменного ответа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результатов возможно при условии систематической работы по обучению составлению сложных планов на всех этапах обучения: от формирования базовых умений выделять ключевые элементы темы до регулярной отработки заданий формата ЕГЭ с анализом типичных ошибок и критериев оценивания.</w:t>
      </w:r>
    </w:p>
    <w:p w:rsidR="0032211E" w:rsidRPr="0032211E" w:rsidRDefault="00CC2BB1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проведенному исследованию, отметим, что а</w:t>
      </w:r>
      <w:r w:rsidR="0032211E" w:rsidRPr="00322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результатов ЕГЭ по обществознанию в Кабардино-Балкарской Республике за 2023</w:t>
      </w:r>
      <w:r w:rsidR="003202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211E" w:rsidRPr="0032211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гг. показал устойчивое сокращение числа участников экзамена и снижение доли выпускников, выбирающих предмет в качестве экзамена по выбору. Одновременно меняется структура результатов</w:t>
      </w:r>
      <w:r w:rsidR="00790B93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32211E" w:rsidRPr="00322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сновная масса участников смещается в зону средне-низких баллов, при сокращении доли </w:t>
      </w:r>
      <w:proofErr w:type="spellStart"/>
      <w:r w:rsidR="0032211E" w:rsidRPr="003221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высокобалльных</w:t>
      </w:r>
      <w:proofErr w:type="spellEnd"/>
      <w:r w:rsidR="0032211E" w:rsidRPr="00322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работ.</w:t>
      </w:r>
    </w:p>
    <w:p w:rsidR="0032211E" w:rsidRPr="0032211E" w:rsidRDefault="0032211E" w:rsidP="0032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типичных ошибок на примере заданий базового, повышенного и высокого уровней показал, что основные проблемы связаны с классификацией понятий, пониманием логики социально-экономических процессов и умением структурировать письменный ответ. Это позволяет сделать вывод о необходимости системной, поэтапной работы по формированию предметных и </w:t>
      </w:r>
      <w:proofErr w:type="spellStart"/>
      <w:r w:rsidRPr="003221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322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на всех уровнях обучения.</w:t>
      </w:r>
    </w:p>
    <w:p w:rsidR="00A432F2" w:rsidRPr="00DD462F" w:rsidRDefault="00A432F2" w:rsidP="00DD4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62F">
        <w:rPr>
          <w:rFonts w:ascii="Times New Roman" w:hAnsi="Times New Roman" w:cs="Times New Roman"/>
          <w:sz w:val="28"/>
          <w:szCs w:val="28"/>
        </w:rPr>
        <w:t xml:space="preserve">Полученные результаты создают объективные основания </w:t>
      </w:r>
      <w:proofErr w:type="gramStart"/>
      <w:r w:rsidRPr="00DD462F">
        <w:rPr>
          <w:rFonts w:ascii="Times New Roman" w:hAnsi="Times New Roman" w:cs="Times New Roman"/>
          <w:sz w:val="28"/>
          <w:szCs w:val="28"/>
        </w:rPr>
        <w:t>для перехода от констатации выявленных проблем к определению методических ориентиров подготовки обучающихся к ЕГЭ по обществознанию</w:t>
      </w:r>
      <w:proofErr w:type="gramEnd"/>
      <w:r w:rsidR="00DD462F" w:rsidRPr="00DD462F">
        <w:rPr>
          <w:rFonts w:ascii="Times New Roman" w:hAnsi="Times New Roman" w:cs="Times New Roman"/>
          <w:sz w:val="28"/>
          <w:szCs w:val="28"/>
        </w:rPr>
        <w:t>. При подготовке к сдаче ЕГЭ по обществознанию педагогам школ Кабардино-Балкарской Республики рекомендуется придерживаться следующих рекомендаций:</w:t>
      </w:r>
    </w:p>
    <w:p w:rsidR="00A432F2" w:rsidRPr="00DD462F" w:rsidRDefault="00A432F2" w:rsidP="00DD462F">
      <w:pPr>
        <w:pStyle w:val="aa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462F">
        <w:rPr>
          <w:rFonts w:ascii="Times New Roman" w:hAnsi="Times New Roman" w:cs="Times New Roman"/>
          <w:sz w:val="28"/>
          <w:szCs w:val="28"/>
        </w:rPr>
        <w:lastRenderedPageBreak/>
        <w:t>При изучении обществознания необходимо систематически отрабатывать классификацию понятий с опорой на их смысловое содержание и функциональные признаки, а не на формальное воспроизведение определений. Данная работа должна быть направлена на преодоление типичных ошибок, связанных с неверным соотнесением понятий и примеров, игнорированием ключевых признаков понятий и подменой анализа механическим выбором ответа</w:t>
      </w:r>
      <w:r w:rsidR="00790B93">
        <w:rPr>
          <w:rFonts w:ascii="Times New Roman" w:hAnsi="Times New Roman" w:cs="Times New Roman"/>
          <w:sz w:val="28"/>
          <w:szCs w:val="28"/>
        </w:rPr>
        <w:t>. Э</w:t>
      </w:r>
      <w:r w:rsidRPr="00DD462F">
        <w:rPr>
          <w:rFonts w:ascii="Times New Roman" w:hAnsi="Times New Roman" w:cs="Times New Roman"/>
          <w:sz w:val="28"/>
          <w:szCs w:val="28"/>
        </w:rPr>
        <w:t>то особенно характерно при выполнении заданий базового уровня. Формирование устойчивых навыков классификации способствует осмысленному усвоению содержания и снижает долю ошибок даже в заданиях, формально относящихся к базовому уровню сложности.</w:t>
      </w:r>
    </w:p>
    <w:p w:rsidR="00DD462F" w:rsidRPr="00DD462F" w:rsidRDefault="00DD462F" w:rsidP="00DD462F">
      <w:pPr>
        <w:pStyle w:val="aa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462F">
        <w:rPr>
          <w:rFonts w:ascii="Times New Roman" w:hAnsi="Times New Roman" w:cs="Times New Roman"/>
          <w:sz w:val="28"/>
          <w:szCs w:val="28"/>
        </w:rPr>
        <w:t>Подготовка к экзамену должна включать систематическую работу с аналитическими заданиями, предполагающими установление причинно-следственных связей и осмысление логики социально-экономических процессов. Такая работа направлена на преодоление типичных ошибок, связанных с формальным отбором верных суждений, смешением близких понятий и недостаточным пониманием механизмов функционирования социальных и экономических явлений</w:t>
      </w:r>
      <w:r w:rsidR="00790B93">
        <w:rPr>
          <w:rFonts w:ascii="Times New Roman" w:hAnsi="Times New Roman" w:cs="Times New Roman"/>
          <w:sz w:val="28"/>
          <w:szCs w:val="28"/>
        </w:rPr>
        <w:t>.</w:t>
      </w:r>
      <w:r w:rsidRPr="00DD462F">
        <w:rPr>
          <w:rFonts w:ascii="Times New Roman" w:hAnsi="Times New Roman" w:cs="Times New Roman"/>
          <w:sz w:val="28"/>
          <w:szCs w:val="28"/>
        </w:rPr>
        <w:t xml:space="preserve"> Формирование данных умений способствует повышению осмысленности ответов и устойчивому росту результатов при выполнении аналитических заданий.</w:t>
      </w:r>
    </w:p>
    <w:p w:rsidR="00DD462F" w:rsidRPr="00DD462F" w:rsidRDefault="00DD462F" w:rsidP="00DD462F">
      <w:pPr>
        <w:pStyle w:val="aa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462F">
        <w:rPr>
          <w:rFonts w:ascii="Times New Roman" w:hAnsi="Times New Roman" w:cs="Times New Roman"/>
          <w:sz w:val="28"/>
          <w:szCs w:val="28"/>
        </w:rPr>
        <w:t>Навыки структурирования письменного ответа целесообразно формировать поэтапно на протяжении всего курса обществознания, начиная с обучения выделению ключевых элементов темы и логической последовательности их раскрытия и заканчивая регулярной отработкой требований к составлению сложного плана в формате ЕГЭ. Такая работа направлена на преодоление типичных ошибок, связанных с отсутствием логики изложения, неполнотой раскрытия темы и нарушением структуры ответа, и способствует повышению качества выполнения заданий высокого уровня сложности.</w:t>
      </w:r>
    </w:p>
    <w:p w:rsidR="00A432F2" w:rsidRPr="00DD462F" w:rsidRDefault="00A432F2" w:rsidP="00DD462F">
      <w:pPr>
        <w:pStyle w:val="aa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462F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Методическая работа </w:t>
      </w:r>
      <w:r w:rsidR="00790B93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DD462F">
        <w:rPr>
          <w:rFonts w:ascii="Times New Roman" w:hAnsi="Times New Roman" w:cs="Times New Roman"/>
          <w:sz w:val="28"/>
          <w:szCs w:val="28"/>
        </w:rPr>
        <w:t xml:space="preserve">должна носить дифференцированный характер, ориентируясь не только на обучающихся с низкими результатами, но и на выпускников со средним уровнем подготовки, для которых сохраняется наибольший потенциал выхода в группу </w:t>
      </w:r>
      <w:proofErr w:type="spellStart"/>
      <w:r w:rsidRPr="00DD462F">
        <w:rPr>
          <w:rFonts w:ascii="Times New Roman" w:hAnsi="Times New Roman" w:cs="Times New Roman"/>
          <w:sz w:val="28"/>
          <w:szCs w:val="28"/>
        </w:rPr>
        <w:t>высокобалльных</w:t>
      </w:r>
      <w:proofErr w:type="spellEnd"/>
      <w:r w:rsidRPr="00DD462F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:rsidR="00A432F2" w:rsidRPr="00DD462F" w:rsidRDefault="00A432F2" w:rsidP="00DD4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62F">
        <w:rPr>
          <w:rFonts w:ascii="Times New Roman" w:hAnsi="Times New Roman" w:cs="Times New Roman"/>
          <w:sz w:val="28"/>
          <w:szCs w:val="28"/>
        </w:rPr>
        <w:t>Реализация данных методических ориентиров позволяет перейти от ситуативной подготовки к ЕГЭ к системному повышению качества обществоведческого образования и обеспечивает устойчивый рост экзаменационных результатов выпускников.</w:t>
      </w:r>
    </w:p>
    <w:p w:rsidR="00A432F2" w:rsidRDefault="00A432F2" w:rsidP="0032211E">
      <w:pPr>
        <w:spacing w:after="0" w:line="360" w:lineRule="auto"/>
        <w:ind w:firstLine="709"/>
        <w:jc w:val="both"/>
      </w:pPr>
      <w:bookmarkStart w:id="0" w:name="_GoBack"/>
      <w:bookmarkEnd w:id="0"/>
    </w:p>
    <w:sectPr w:rsidR="00A4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980"/>
    <w:multiLevelType w:val="multilevel"/>
    <w:tmpl w:val="FFF6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622FE"/>
    <w:multiLevelType w:val="multilevel"/>
    <w:tmpl w:val="06961E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">
    <w:nsid w:val="32A533EF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C1140"/>
    <w:multiLevelType w:val="multilevel"/>
    <w:tmpl w:val="063E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23F91"/>
    <w:multiLevelType w:val="hybridMultilevel"/>
    <w:tmpl w:val="1CD6B6DC"/>
    <w:lvl w:ilvl="0" w:tplc="0300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245D15"/>
    <w:multiLevelType w:val="hybridMultilevel"/>
    <w:tmpl w:val="4BFC6A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5F16C9"/>
    <w:multiLevelType w:val="multilevel"/>
    <w:tmpl w:val="0A5A6BC6"/>
    <w:lvl w:ilvl="0">
      <w:start w:val="2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706946DC"/>
    <w:multiLevelType w:val="multilevel"/>
    <w:tmpl w:val="5366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646253"/>
    <w:multiLevelType w:val="multilevel"/>
    <w:tmpl w:val="A650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99"/>
    <w:rsid w:val="000B02B5"/>
    <w:rsid w:val="000B4D77"/>
    <w:rsid w:val="00126975"/>
    <w:rsid w:val="001829F4"/>
    <w:rsid w:val="001B2AAE"/>
    <w:rsid w:val="002D5BD9"/>
    <w:rsid w:val="00320240"/>
    <w:rsid w:val="0032211E"/>
    <w:rsid w:val="0037484B"/>
    <w:rsid w:val="003856A3"/>
    <w:rsid w:val="00420D08"/>
    <w:rsid w:val="004370C7"/>
    <w:rsid w:val="004C5473"/>
    <w:rsid w:val="005D3338"/>
    <w:rsid w:val="0061282B"/>
    <w:rsid w:val="006E3E0E"/>
    <w:rsid w:val="00704FE1"/>
    <w:rsid w:val="007547BB"/>
    <w:rsid w:val="00790B93"/>
    <w:rsid w:val="00855277"/>
    <w:rsid w:val="008D0699"/>
    <w:rsid w:val="00932B1C"/>
    <w:rsid w:val="009C1B5F"/>
    <w:rsid w:val="00A432F2"/>
    <w:rsid w:val="00A673CE"/>
    <w:rsid w:val="00AE6160"/>
    <w:rsid w:val="00C61E43"/>
    <w:rsid w:val="00CC2BB1"/>
    <w:rsid w:val="00CC6E81"/>
    <w:rsid w:val="00CF71BD"/>
    <w:rsid w:val="00D975DF"/>
    <w:rsid w:val="00DD462F"/>
    <w:rsid w:val="00DE5A79"/>
    <w:rsid w:val="00E40775"/>
    <w:rsid w:val="00F2317C"/>
    <w:rsid w:val="00F772AE"/>
    <w:rsid w:val="00F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D0699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D0699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699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="Cambria" w:eastAsia="SimSun" w:hAnsi="Cambria" w:cs="Times New Roman"/>
      <w:i/>
      <w:iCs/>
      <w:color w:val="365F91"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699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="Cambria" w:eastAsia="SimSun" w:hAnsi="Cambria" w:cs="Times New Roman"/>
      <w:color w:val="365F91"/>
      <w:sz w:val="24"/>
      <w:szCs w:val="24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699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="Cambria" w:eastAsia="SimSun" w:hAnsi="Cambria" w:cs="Times New Roman"/>
      <w:color w:val="243F60"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699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="Cambria" w:eastAsia="SimSun" w:hAnsi="Cambria" w:cs="Times New Roman"/>
      <w:i/>
      <w:iCs/>
      <w:color w:val="243F60"/>
      <w:sz w:val="24"/>
      <w:szCs w:val="24"/>
      <w:lang w:val="x-none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699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="Cambria" w:eastAsia="SimSun" w:hAnsi="Cambria" w:cs="Times New Roman"/>
      <w:color w:val="272727"/>
      <w:sz w:val="21"/>
      <w:szCs w:val="21"/>
      <w:lang w:val="x-none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699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="Cambria" w:eastAsia="SimSun" w:hAnsi="Cambria" w:cs="Times New Roman"/>
      <w:i/>
      <w:iCs/>
      <w:color w:val="272727"/>
      <w:sz w:val="21"/>
      <w:szCs w:val="21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699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8D0699"/>
    <w:rPr>
      <w:rFonts w:ascii="Cambria" w:eastAsia="SimSun" w:hAnsi="Cambria" w:cs="Times New Roman"/>
      <w:b/>
      <w:bCs/>
      <w:sz w:val="28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0699"/>
    <w:rPr>
      <w:rFonts w:ascii="Cambria" w:eastAsia="SimSun" w:hAnsi="Cambria" w:cs="Times New Roman"/>
      <w:i/>
      <w:iCs/>
      <w:color w:val="365F91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0699"/>
    <w:rPr>
      <w:rFonts w:ascii="Cambria" w:eastAsia="SimSun" w:hAnsi="Cambria" w:cs="Times New Roman"/>
      <w:color w:val="365F91"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D0699"/>
    <w:rPr>
      <w:rFonts w:ascii="Cambria" w:eastAsia="SimSun" w:hAnsi="Cambria" w:cs="Times New Roman"/>
      <w:color w:val="243F60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D0699"/>
    <w:rPr>
      <w:rFonts w:ascii="Cambria" w:eastAsia="SimSun" w:hAnsi="Cambria" w:cs="Times New Roman"/>
      <w:i/>
      <w:iCs/>
      <w:color w:val="243F60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D0699"/>
    <w:rPr>
      <w:rFonts w:ascii="Cambria" w:eastAsia="SimSun" w:hAnsi="Cambria" w:cs="Times New Roman"/>
      <w:color w:val="272727"/>
      <w:sz w:val="21"/>
      <w:szCs w:val="21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D0699"/>
    <w:rPr>
      <w:rFonts w:ascii="Cambria" w:eastAsia="SimSun" w:hAnsi="Cambria" w:cs="Times New Roman"/>
      <w:i/>
      <w:iCs/>
      <w:color w:val="272727"/>
      <w:sz w:val="21"/>
      <w:szCs w:val="21"/>
      <w:lang w:val="x-none" w:eastAsia="ru-RU"/>
    </w:rPr>
  </w:style>
  <w:style w:type="paragraph" w:styleId="a4">
    <w:name w:val="caption"/>
    <w:basedOn w:val="a"/>
    <w:next w:val="a"/>
    <w:uiPriority w:val="35"/>
    <w:unhideWhenUsed/>
    <w:qFormat/>
    <w:rsid w:val="008D0699"/>
    <w:pPr>
      <w:spacing w:line="240" w:lineRule="auto"/>
      <w:jc w:val="right"/>
    </w:pPr>
    <w:rPr>
      <w:rFonts w:ascii="Times New Roman" w:eastAsia="Calibri" w:hAnsi="Times New Roman" w:cs="Times New Roman"/>
      <w:bCs/>
      <w:i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69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E3E0E"/>
    <w:rPr>
      <w:b/>
      <w:bCs/>
    </w:rPr>
  </w:style>
  <w:style w:type="character" w:styleId="a8">
    <w:name w:val="Emphasis"/>
    <w:basedOn w:val="a0"/>
    <w:uiPriority w:val="20"/>
    <w:qFormat/>
    <w:rsid w:val="001B2AAE"/>
    <w:rPr>
      <w:i/>
      <w:iCs/>
    </w:rPr>
  </w:style>
  <w:style w:type="character" w:styleId="a9">
    <w:name w:val="Hyperlink"/>
    <w:basedOn w:val="a0"/>
    <w:uiPriority w:val="99"/>
    <w:unhideWhenUsed/>
    <w:rsid w:val="001B2AA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B2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D0699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D0699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699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="Cambria" w:eastAsia="SimSun" w:hAnsi="Cambria" w:cs="Times New Roman"/>
      <w:i/>
      <w:iCs/>
      <w:color w:val="365F91"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699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="Cambria" w:eastAsia="SimSun" w:hAnsi="Cambria" w:cs="Times New Roman"/>
      <w:color w:val="365F91"/>
      <w:sz w:val="24"/>
      <w:szCs w:val="24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699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="Cambria" w:eastAsia="SimSun" w:hAnsi="Cambria" w:cs="Times New Roman"/>
      <w:color w:val="243F60"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699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="Cambria" w:eastAsia="SimSun" w:hAnsi="Cambria" w:cs="Times New Roman"/>
      <w:i/>
      <w:iCs/>
      <w:color w:val="243F60"/>
      <w:sz w:val="24"/>
      <w:szCs w:val="24"/>
      <w:lang w:val="x-none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699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="Cambria" w:eastAsia="SimSun" w:hAnsi="Cambria" w:cs="Times New Roman"/>
      <w:color w:val="272727"/>
      <w:sz w:val="21"/>
      <w:szCs w:val="21"/>
      <w:lang w:val="x-none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699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="Cambria" w:eastAsia="SimSun" w:hAnsi="Cambria" w:cs="Times New Roman"/>
      <w:i/>
      <w:iCs/>
      <w:color w:val="272727"/>
      <w:sz w:val="21"/>
      <w:szCs w:val="21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699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8D0699"/>
    <w:rPr>
      <w:rFonts w:ascii="Cambria" w:eastAsia="SimSun" w:hAnsi="Cambria" w:cs="Times New Roman"/>
      <w:b/>
      <w:bCs/>
      <w:sz w:val="28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0699"/>
    <w:rPr>
      <w:rFonts w:ascii="Cambria" w:eastAsia="SimSun" w:hAnsi="Cambria" w:cs="Times New Roman"/>
      <w:i/>
      <w:iCs/>
      <w:color w:val="365F91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0699"/>
    <w:rPr>
      <w:rFonts w:ascii="Cambria" w:eastAsia="SimSun" w:hAnsi="Cambria" w:cs="Times New Roman"/>
      <w:color w:val="365F91"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D0699"/>
    <w:rPr>
      <w:rFonts w:ascii="Cambria" w:eastAsia="SimSun" w:hAnsi="Cambria" w:cs="Times New Roman"/>
      <w:color w:val="243F60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D0699"/>
    <w:rPr>
      <w:rFonts w:ascii="Cambria" w:eastAsia="SimSun" w:hAnsi="Cambria" w:cs="Times New Roman"/>
      <w:i/>
      <w:iCs/>
      <w:color w:val="243F60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D0699"/>
    <w:rPr>
      <w:rFonts w:ascii="Cambria" w:eastAsia="SimSun" w:hAnsi="Cambria" w:cs="Times New Roman"/>
      <w:color w:val="272727"/>
      <w:sz w:val="21"/>
      <w:szCs w:val="21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D0699"/>
    <w:rPr>
      <w:rFonts w:ascii="Cambria" w:eastAsia="SimSun" w:hAnsi="Cambria" w:cs="Times New Roman"/>
      <w:i/>
      <w:iCs/>
      <w:color w:val="272727"/>
      <w:sz w:val="21"/>
      <w:szCs w:val="21"/>
      <w:lang w:val="x-none" w:eastAsia="ru-RU"/>
    </w:rPr>
  </w:style>
  <w:style w:type="paragraph" w:styleId="a4">
    <w:name w:val="caption"/>
    <w:basedOn w:val="a"/>
    <w:next w:val="a"/>
    <w:uiPriority w:val="35"/>
    <w:unhideWhenUsed/>
    <w:qFormat/>
    <w:rsid w:val="008D0699"/>
    <w:pPr>
      <w:spacing w:line="240" w:lineRule="auto"/>
      <w:jc w:val="right"/>
    </w:pPr>
    <w:rPr>
      <w:rFonts w:ascii="Times New Roman" w:eastAsia="Calibri" w:hAnsi="Times New Roman" w:cs="Times New Roman"/>
      <w:bCs/>
      <w:i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69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E3E0E"/>
    <w:rPr>
      <w:b/>
      <w:bCs/>
    </w:rPr>
  </w:style>
  <w:style w:type="character" w:styleId="a8">
    <w:name w:val="Emphasis"/>
    <w:basedOn w:val="a0"/>
    <w:uiPriority w:val="20"/>
    <w:qFormat/>
    <w:rsid w:val="001B2AAE"/>
    <w:rPr>
      <w:i/>
      <w:iCs/>
    </w:rPr>
  </w:style>
  <w:style w:type="character" w:styleId="a9">
    <w:name w:val="Hyperlink"/>
    <w:basedOn w:val="a0"/>
    <w:uiPriority w:val="99"/>
    <w:unhideWhenUsed/>
    <w:rsid w:val="001B2AA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B2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3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tdel6\Desktop\&#1057;&#1040;&#1054;_2025\&#1057;&#1040;&#1054;_17%20&#1080;&#1102;&#1083;&#1103;\&#1057;&#1040;&#1054;%20&#1043;&#1048;&#1040;-11%202025\&#1043;&#1083;&#1072;&#1074;&#1072;%202%20&#1054;&#1073;&#1097;&#1077;&#1089;&#1090;&#1074;&#1086;&#1079;&#1085;&#1072;&#1085;&#1080;&#1077;.xlsx" TargetMode="External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Лист1!$J$26:$L$26</c:f>
              <c:strCache>
                <c:ptCount val="3"/>
                <c:pt idx="0">
                  <c:v>2023 г.</c:v>
                </c:pt>
                <c:pt idx="1">
                  <c:v>2024 г.</c:v>
                </c:pt>
                <c:pt idx="2">
                  <c:v>2025 г.</c:v>
                </c:pt>
              </c:strCache>
            </c:strRef>
          </c:cat>
          <c:val>
            <c:numRef>
              <c:f>Лист1!$J$27:$L$27</c:f>
              <c:numCache>
                <c:formatCode>General</c:formatCode>
                <c:ptCount val="3"/>
                <c:pt idx="0">
                  <c:v>1706</c:v>
                </c:pt>
                <c:pt idx="1">
                  <c:v>1646</c:v>
                </c:pt>
                <c:pt idx="2">
                  <c:v>1521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24-49A0-9AE9-6F7B7E1B25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2545408"/>
        <c:axId val="272977856"/>
      </c:barChart>
      <c:catAx>
        <c:axId val="26254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2977856"/>
        <c:crosses val="autoZero"/>
        <c:auto val="1"/>
        <c:lblAlgn val="ctr"/>
        <c:lblOffset val="100"/>
        <c:noMultiLvlLbl val="0"/>
      </c:catAx>
      <c:valAx>
        <c:axId val="272977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545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Лист1!$H$30:$J$30</c:f>
              <c:strCache>
                <c:ptCount val="3"/>
                <c:pt idx="0">
                  <c:v>2023 г.</c:v>
                </c:pt>
                <c:pt idx="1">
                  <c:v>2024 г.</c:v>
                </c:pt>
                <c:pt idx="2">
                  <c:v>2025 г.</c:v>
                </c:pt>
              </c:strCache>
            </c:strRef>
          </c:cat>
          <c:val>
            <c:numRef>
              <c:f>Лист1!$H$31:$J$31</c:f>
              <c:numCache>
                <c:formatCode>General</c:formatCode>
                <c:ptCount val="3"/>
                <c:pt idx="0">
                  <c:v>39.590000000000003</c:v>
                </c:pt>
                <c:pt idx="1">
                  <c:v>41.14</c:v>
                </c:pt>
                <c:pt idx="2">
                  <c:v>31.63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A2-494C-8A9E-574D439957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635904"/>
        <c:axId val="272979584"/>
      </c:barChart>
      <c:catAx>
        <c:axId val="264635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2979584"/>
        <c:crosses val="autoZero"/>
        <c:auto val="1"/>
        <c:lblAlgn val="ctr"/>
        <c:lblOffset val="100"/>
        <c:noMultiLvlLbl val="0"/>
      </c:catAx>
      <c:valAx>
        <c:axId val="27297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46359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Лист1!$I$35:$I$36</c:f>
              <c:strCache>
                <c:ptCount val="1"/>
                <c:pt idx="0">
                  <c:v>2023 г.</c:v>
                </c:pt>
              </c:strCache>
            </c:strRef>
          </c:tx>
          <c:invertIfNegative val="0"/>
          <c:trendline>
            <c:trendlineType val="linear"/>
            <c:dispRSqr val="0"/>
            <c:dispEq val="0"/>
          </c:trendline>
          <c:cat>
            <c:strRef>
              <c:f>Лист1!$H$37:$H$40</c:f>
              <c:strCache>
                <c:ptCount val="4"/>
                <c:pt idx="0">
                  <c:v> ниже минимального балла, %</c:v>
                </c:pt>
                <c:pt idx="1">
                  <c:v>от минимального балла до 60 баллов, %</c:v>
                </c:pt>
                <c:pt idx="2">
                  <c:v>от 61 до 80 баллов, %</c:v>
                </c:pt>
                <c:pt idx="3">
                  <c:v>от 81 до 100 баллов, %</c:v>
                </c:pt>
              </c:strCache>
            </c:strRef>
          </c:cat>
          <c:val>
            <c:numRef>
              <c:f>Лист1!$I$37:$I$40</c:f>
              <c:numCache>
                <c:formatCode>General</c:formatCode>
                <c:ptCount val="4"/>
                <c:pt idx="0">
                  <c:v>32.4</c:v>
                </c:pt>
                <c:pt idx="1">
                  <c:v>38.200000000000003</c:v>
                </c:pt>
                <c:pt idx="2">
                  <c:v>22.7</c:v>
                </c:pt>
                <c:pt idx="3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46-4750-A8C5-804657EE983B}"/>
            </c:ext>
          </c:extLst>
        </c:ser>
        <c:ser>
          <c:idx val="1"/>
          <c:order val="1"/>
          <c:tx>
            <c:strRef>
              <c:f>Лист1!$J$35:$J$36</c:f>
              <c:strCache>
                <c:ptCount val="1"/>
                <c:pt idx="0">
                  <c:v>2024 г.</c:v>
                </c:pt>
              </c:strCache>
            </c:strRef>
          </c:tx>
          <c:invertIfNegative val="0"/>
          <c:cat>
            <c:strRef>
              <c:f>Лист1!$H$37:$H$40</c:f>
              <c:strCache>
                <c:ptCount val="4"/>
                <c:pt idx="0">
                  <c:v> ниже минимального балла, %</c:v>
                </c:pt>
                <c:pt idx="1">
                  <c:v>от минимального балла до 60 баллов, %</c:v>
                </c:pt>
                <c:pt idx="2">
                  <c:v>от 61 до 80 баллов, %</c:v>
                </c:pt>
                <c:pt idx="3">
                  <c:v>от 81 до 100 баллов, %</c:v>
                </c:pt>
              </c:strCache>
            </c:strRef>
          </c:cat>
          <c:val>
            <c:numRef>
              <c:f>Лист1!$J$37:$J$40</c:f>
              <c:numCache>
                <c:formatCode>General</c:formatCode>
                <c:ptCount val="4"/>
                <c:pt idx="0">
                  <c:v>26.79</c:v>
                </c:pt>
                <c:pt idx="1">
                  <c:v>34.630000000000003</c:v>
                </c:pt>
                <c:pt idx="2">
                  <c:v>29.59</c:v>
                </c:pt>
                <c:pt idx="3">
                  <c:v>8.99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46-4750-A8C5-804657EE983B}"/>
            </c:ext>
          </c:extLst>
        </c:ser>
        <c:ser>
          <c:idx val="2"/>
          <c:order val="2"/>
          <c:tx>
            <c:strRef>
              <c:f>Лист1!$K$35:$K$36</c:f>
              <c:strCache>
                <c:ptCount val="1"/>
                <c:pt idx="0">
                  <c:v>2025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Лист1!$H$37:$H$40</c:f>
              <c:strCache>
                <c:ptCount val="4"/>
                <c:pt idx="0">
                  <c:v> ниже минимального балла, %</c:v>
                </c:pt>
                <c:pt idx="1">
                  <c:v>от минимального балла до 60 баллов, %</c:v>
                </c:pt>
                <c:pt idx="2">
                  <c:v>от 61 до 80 баллов, %</c:v>
                </c:pt>
                <c:pt idx="3">
                  <c:v>от 81 до 100 баллов, %</c:v>
                </c:pt>
              </c:strCache>
            </c:strRef>
          </c:cat>
          <c:val>
            <c:numRef>
              <c:f>Лист1!$K$37:$K$40</c:f>
              <c:numCache>
                <c:formatCode>General</c:formatCode>
                <c:ptCount val="4"/>
                <c:pt idx="0">
                  <c:v>22.81</c:v>
                </c:pt>
                <c:pt idx="1">
                  <c:v>48.92</c:v>
                </c:pt>
                <c:pt idx="2">
                  <c:v>25.58</c:v>
                </c:pt>
                <c:pt idx="3">
                  <c:v>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C46-4750-A8C5-804657EE98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2568960"/>
        <c:axId val="272981312"/>
      </c:barChart>
      <c:catAx>
        <c:axId val="262568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2981312"/>
        <c:crosses val="autoZero"/>
        <c:auto val="1"/>
        <c:lblAlgn val="ctr"/>
        <c:lblOffset val="100"/>
        <c:noMultiLvlLbl val="0"/>
      </c:catAx>
      <c:valAx>
        <c:axId val="272981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568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Лист1!$G$51</c:f>
              <c:strCache>
                <c:ptCount val="1"/>
                <c:pt idx="0">
                  <c:v>Средний тестовый балл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Лист1!$H$49:$J$50</c:f>
              <c:strCache>
                <c:ptCount val="3"/>
                <c:pt idx="0">
                  <c:v>2023 г.</c:v>
                </c:pt>
                <c:pt idx="1">
                  <c:v>2024 г.</c:v>
                </c:pt>
                <c:pt idx="2">
                  <c:v>2025 г.</c:v>
                </c:pt>
              </c:strCache>
            </c:strRef>
          </c:cat>
          <c:val>
            <c:numRef>
              <c:f>Лист1!$H$51:$J$51</c:f>
              <c:numCache>
                <c:formatCode>General</c:formatCode>
                <c:ptCount val="3"/>
                <c:pt idx="0">
                  <c:v>49.4</c:v>
                </c:pt>
                <c:pt idx="1">
                  <c:v>53.76</c:v>
                </c:pt>
                <c:pt idx="2">
                  <c:v>50.78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DB-4D88-BE9C-B9D62BEDBC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0194048"/>
        <c:axId val="278373504"/>
      </c:barChart>
      <c:catAx>
        <c:axId val="320194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8373504"/>
        <c:crosses val="autoZero"/>
        <c:auto val="1"/>
        <c:lblAlgn val="ctr"/>
        <c:lblOffset val="100"/>
        <c:noMultiLvlLbl val="0"/>
      </c:catAx>
      <c:valAx>
        <c:axId val="278373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01940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2702790468872077E-2"/>
          <c:y val="0.10753045699796"/>
          <c:w val="0.92318494130659146"/>
          <c:h val="0.64983851594821829"/>
        </c:manualLayout>
      </c:layout>
      <c:lineChart>
        <c:grouping val="standard"/>
        <c:varyColors val="0"/>
        <c:ser>
          <c:idx val="0"/>
          <c:order val="0"/>
          <c:tx>
            <c:strRef>
              <c:f>'[Глава 2 Обществознание.xlsx]Диаграмма'!$A$4:$A$58</c:f>
              <c:strCache>
                <c:ptCount val="1"/>
                <c:pt idx="0">
                  <c:v>0 6 8 10 12 14 16 18 20 22 24 26 28 30 32 34 36 38 40 42 44 45 47 48 49 51 52 53 55 56 57 59 60 62 63 64 66 67 68 70 71 72 73 75 77 79 81 83 85 86 88 90 92 94 96</c:v>
                </c:pt>
              </c:strCache>
            </c:strRef>
          </c:tx>
          <c:cat>
            <c:numRef>
              <c:f>'[Глава 2 Обществознание.xlsx]Диаграмма'!$A$4:$A$58</c:f>
              <c:numCache>
                <c:formatCode>General</c:formatCode>
                <c:ptCount val="55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  <c:pt idx="4">
                  <c:v>12</c:v>
                </c:pt>
                <c:pt idx="5">
                  <c:v>14</c:v>
                </c:pt>
                <c:pt idx="6">
                  <c:v>16</c:v>
                </c:pt>
                <c:pt idx="7">
                  <c:v>18</c:v>
                </c:pt>
                <c:pt idx="8">
                  <c:v>20</c:v>
                </c:pt>
                <c:pt idx="9">
                  <c:v>22</c:v>
                </c:pt>
                <c:pt idx="10">
                  <c:v>24</c:v>
                </c:pt>
                <c:pt idx="11">
                  <c:v>26</c:v>
                </c:pt>
                <c:pt idx="12">
                  <c:v>28</c:v>
                </c:pt>
                <c:pt idx="13">
                  <c:v>30</c:v>
                </c:pt>
                <c:pt idx="14">
                  <c:v>32</c:v>
                </c:pt>
                <c:pt idx="15">
                  <c:v>34</c:v>
                </c:pt>
                <c:pt idx="16">
                  <c:v>36</c:v>
                </c:pt>
                <c:pt idx="17">
                  <c:v>38</c:v>
                </c:pt>
                <c:pt idx="18">
                  <c:v>40</c:v>
                </c:pt>
                <c:pt idx="19">
                  <c:v>42</c:v>
                </c:pt>
                <c:pt idx="20">
                  <c:v>44</c:v>
                </c:pt>
                <c:pt idx="21">
                  <c:v>45</c:v>
                </c:pt>
                <c:pt idx="22">
                  <c:v>47</c:v>
                </c:pt>
                <c:pt idx="23">
                  <c:v>48</c:v>
                </c:pt>
                <c:pt idx="24">
                  <c:v>49</c:v>
                </c:pt>
                <c:pt idx="25">
                  <c:v>51</c:v>
                </c:pt>
                <c:pt idx="26">
                  <c:v>52</c:v>
                </c:pt>
                <c:pt idx="27">
                  <c:v>53</c:v>
                </c:pt>
                <c:pt idx="28">
                  <c:v>55</c:v>
                </c:pt>
                <c:pt idx="29">
                  <c:v>56</c:v>
                </c:pt>
                <c:pt idx="30">
                  <c:v>57</c:v>
                </c:pt>
                <c:pt idx="31">
                  <c:v>59</c:v>
                </c:pt>
                <c:pt idx="32">
                  <c:v>60</c:v>
                </c:pt>
                <c:pt idx="33">
                  <c:v>62</c:v>
                </c:pt>
                <c:pt idx="34">
                  <c:v>63</c:v>
                </c:pt>
                <c:pt idx="35">
                  <c:v>64</c:v>
                </c:pt>
                <c:pt idx="36">
                  <c:v>66</c:v>
                </c:pt>
                <c:pt idx="37">
                  <c:v>67</c:v>
                </c:pt>
                <c:pt idx="38">
                  <c:v>68</c:v>
                </c:pt>
                <c:pt idx="39">
                  <c:v>70</c:v>
                </c:pt>
                <c:pt idx="40">
                  <c:v>71</c:v>
                </c:pt>
                <c:pt idx="41">
                  <c:v>72</c:v>
                </c:pt>
                <c:pt idx="42">
                  <c:v>73</c:v>
                </c:pt>
                <c:pt idx="43">
                  <c:v>75</c:v>
                </c:pt>
                <c:pt idx="44">
                  <c:v>77</c:v>
                </c:pt>
                <c:pt idx="45">
                  <c:v>79</c:v>
                </c:pt>
                <c:pt idx="46">
                  <c:v>81</c:v>
                </c:pt>
                <c:pt idx="47">
                  <c:v>83</c:v>
                </c:pt>
                <c:pt idx="48">
                  <c:v>85</c:v>
                </c:pt>
                <c:pt idx="49">
                  <c:v>86</c:v>
                </c:pt>
                <c:pt idx="50">
                  <c:v>88</c:v>
                </c:pt>
                <c:pt idx="51">
                  <c:v>90</c:v>
                </c:pt>
                <c:pt idx="52">
                  <c:v>92</c:v>
                </c:pt>
                <c:pt idx="53">
                  <c:v>94</c:v>
                </c:pt>
                <c:pt idx="54">
                  <c:v>96</c:v>
                </c:pt>
              </c:numCache>
            </c:numRef>
          </c:cat>
          <c:val>
            <c:numRef>
              <c:f>'[Глава 2 Обществознание.xlsx]Диаграмма'!$B$4:$B$58</c:f>
              <c:numCache>
                <c:formatCode>General</c:formatCode>
                <c:ptCount val="55"/>
                <c:pt idx="0">
                  <c:v>1</c:v>
                </c:pt>
                <c:pt idx="1">
                  <c:v>2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14</c:v>
                </c:pt>
                <c:pt idx="6">
                  <c:v>22</c:v>
                </c:pt>
                <c:pt idx="7">
                  <c:v>18</c:v>
                </c:pt>
                <c:pt idx="8">
                  <c:v>25</c:v>
                </c:pt>
                <c:pt idx="9">
                  <c:v>23</c:v>
                </c:pt>
                <c:pt idx="10">
                  <c:v>22</c:v>
                </c:pt>
                <c:pt idx="11">
                  <c:v>26</c:v>
                </c:pt>
                <c:pt idx="12">
                  <c:v>26</c:v>
                </c:pt>
                <c:pt idx="13">
                  <c:v>26</c:v>
                </c:pt>
                <c:pt idx="14">
                  <c:v>23</c:v>
                </c:pt>
                <c:pt idx="15">
                  <c:v>25</c:v>
                </c:pt>
                <c:pt idx="16">
                  <c:v>19</c:v>
                </c:pt>
                <c:pt idx="17">
                  <c:v>21</c:v>
                </c:pt>
                <c:pt idx="18">
                  <c:v>24</c:v>
                </c:pt>
                <c:pt idx="19">
                  <c:v>40</c:v>
                </c:pt>
                <c:pt idx="20">
                  <c:v>37</c:v>
                </c:pt>
                <c:pt idx="21">
                  <c:v>65</c:v>
                </c:pt>
                <c:pt idx="22">
                  <c:v>58</c:v>
                </c:pt>
                <c:pt idx="23">
                  <c:v>59</c:v>
                </c:pt>
                <c:pt idx="24">
                  <c:v>62</c:v>
                </c:pt>
                <c:pt idx="25">
                  <c:v>49</c:v>
                </c:pt>
                <c:pt idx="26">
                  <c:v>52</c:v>
                </c:pt>
                <c:pt idx="27">
                  <c:v>63</c:v>
                </c:pt>
                <c:pt idx="28">
                  <c:v>68</c:v>
                </c:pt>
                <c:pt idx="29">
                  <c:v>47</c:v>
                </c:pt>
                <c:pt idx="30">
                  <c:v>36</c:v>
                </c:pt>
                <c:pt idx="31">
                  <c:v>45</c:v>
                </c:pt>
                <c:pt idx="32">
                  <c:v>63</c:v>
                </c:pt>
                <c:pt idx="33">
                  <c:v>47</c:v>
                </c:pt>
                <c:pt idx="34">
                  <c:v>45</c:v>
                </c:pt>
                <c:pt idx="35">
                  <c:v>39</c:v>
                </c:pt>
                <c:pt idx="36">
                  <c:v>29</c:v>
                </c:pt>
                <c:pt idx="37">
                  <c:v>41</c:v>
                </c:pt>
                <c:pt idx="38">
                  <c:v>28</c:v>
                </c:pt>
                <c:pt idx="39">
                  <c:v>30</c:v>
                </c:pt>
                <c:pt idx="40">
                  <c:v>26</c:v>
                </c:pt>
                <c:pt idx="41">
                  <c:v>23</c:v>
                </c:pt>
                <c:pt idx="42">
                  <c:v>23</c:v>
                </c:pt>
                <c:pt idx="43">
                  <c:v>23</c:v>
                </c:pt>
                <c:pt idx="44">
                  <c:v>19</c:v>
                </c:pt>
                <c:pt idx="45">
                  <c:v>16</c:v>
                </c:pt>
                <c:pt idx="46">
                  <c:v>9</c:v>
                </c:pt>
                <c:pt idx="47">
                  <c:v>5</c:v>
                </c:pt>
                <c:pt idx="48">
                  <c:v>10</c:v>
                </c:pt>
                <c:pt idx="49">
                  <c:v>4</c:v>
                </c:pt>
                <c:pt idx="50">
                  <c:v>2</c:v>
                </c:pt>
                <c:pt idx="51">
                  <c:v>3</c:v>
                </c:pt>
                <c:pt idx="52">
                  <c:v>6</c:v>
                </c:pt>
                <c:pt idx="53">
                  <c:v>1</c:v>
                </c:pt>
                <c:pt idx="54">
                  <c:v>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989-4457-AFC0-81103BE259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0195584"/>
        <c:axId val="278376384"/>
      </c:lineChart>
      <c:catAx>
        <c:axId val="320195584"/>
        <c:scaling>
          <c:orientation val="minMax"/>
        </c:scaling>
        <c:delete val="0"/>
        <c:axPos val="b"/>
        <c:numFmt formatCode="General" sourceLinked="1"/>
        <c:majorTickMark val="cross"/>
        <c:minorTickMark val="cross"/>
        <c:tickLblPos val="nextTo"/>
        <c:crossAx val="278376384"/>
        <c:crosses val="autoZero"/>
        <c:auto val="1"/>
        <c:lblAlgn val="ctr"/>
        <c:lblOffset val="100"/>
        <c:noMultiLvlLbl val="1"/>
      </c:catAx>
      <c:valAx>
        <c:axId val="278376384"/>
        <c:scaling>
          <c:orientation val="minMax"/>
        </c:scaling>
        <c:delete val="0"/>
        <c:axPos val="l"/>
        <c:numFmt formatCode="General" sourceLinked="1"/>
        <c:majorTickMark val="cross"/>
        <c:minorTickMark val="cross"/>
        <c:tickLblPos val="nextTo"/>
        <c:crossAx val="320195584"/>
        <c:crosses val="autoZero"/>
        <c:crossBetween val="between"/>
      </c:valAx>
    </c:plotArea>
    <c:plotVisOnly val="1"/>
    <c:dispBlanksAs val="zero"/>
    <c:showDLblsOverMax val="1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Лист1!$G$87</c:f>
              <c:strCache>
                <c:ptCount val="1"/>
                <c:pt idx="0">
                  <c:v>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Лист1!$H$85:$K$86</c:f>
              <c:strCache>
                <c:ptCount val="4"/>
                <c:pt idx="0">
                  <c:v>не преодолевшие порог</c:v>
                </c:pt>
                <c:pt idx="1">
                  <c:v>в группе от минимального до 60 т.б.,% </c:v>
                </c:pt>
                <c:pt idx="2">
                  <c:v>в группе от 61 до 80 т.б.,% </c:v>
                </c:pt>
                <c:pt idx="3">
                  <c:v>в группе 81-100</c:v>
                </c:pt>
              </c:strCache>
            </c:strRef>
          </c:cat>
          <c:val>
            <c:numRef>
              <c:f>Лист1!$H$87:$K$87</c:f>
              <c:numCache>
                <c:formatCode>General</c:formatCode>
                <c:ptCount val="4"/>
                <c:pt idx="0">
                  <c:v>19.07</c:v>
                </c:pt>
                <c:pt idx="1">
                  <c:v>20.51</c:v>
                </c:pt>
                <c:pt idx="2">
                  <c:v>2.63</c:v>
                </c:pt>
                <c:pt idx="3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F4-4194-98C2-96C915AC7E3D}"/>
            </c:ext>
          </c:extLst>
        </c:ser>
        <c:ser>
          <c:idx val="1"/>
          <c:order val="1"/>
          <c:tx>
            <c:strRef>
              <c:f>Лист1!$G$88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Лист1!$H$85:$K$86</c:f>
              <c:strCache>
                <c:ptCount val="4"/>
                <c:pt idx="0">
                  <c:v>не преодолевшие порог</c:v>
                </c:pt>
                <c:pt idx="1">
                  <c:v>в группе от минимального до 60 т.б.,% </c:v>
                </c:pt>
                <c:pt idx="2">
                  <c:v>в группе от 61 до 80 т.б.,% </c:v>
                </c:pt>
                <c:pt idx="3">
                  <c:v>в группе 81-100</c:v>
                </c:pt>
              </c:strCache>
            </c:strRef>
          </c:cat>
          <c:val>
            <c:numRef>
              <c:f>Лист1!$H$88:$K$88</c:f>
              <c:numCache>
                <c:formatCode>General</c:formatCode>
                <c:ptCount val="4"/>
                <c:pt idx="0">
                  <c:v>2.56</c:v>
                </c:pt>
                <c:pt idx="1">
                  <c:v>11.37</c:v>
                </c:pt>
                <c:pt idx="2">
                  <c:v>5.0599999999999996</c:v>
                </c:pt>
                <c:pt idx="3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F4-4194-98C2-96C915AC7E3D}"/>
            </c:ext>
          </c:extLst>
        </c:ser>
        <c:ser>
          <c:idx val="2"/>
          <c:order val="2"/>
          <c:tx>
            <c:strRef>
              <c:f>Лист1!$G$89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Лист1!$H$85:$K$86</c:f>
              <c:strCache>
                <c:ptCount val="4"/>
                <c:pt idx="0">
                  <c:v>не преодолевшие порог</c:v>
                </c:pt>
                <c:pt idx="1">
                  <c:v>в группе от минимального до 60 т.б.,% </c:v>
                </c:pt>
                <c:pt idx="2">
                  <c:v>в группе от 61 до 80 т.б.,% </c:v>
                </c:pt>
                <c:pt idx="3">
                  <c:v>в группе 81-100</c:v>
                </c:pt>
              </c:strCache>
            </c:strRef>
          </c:cat>
          <c:val>
            <c:numRef>
              <c:f>Лист1!$H$89:$K$89</c:f>
              <c:numCache>
                <c:formatCode>General</c:formatCode>
                <c:ptCount val="4"/>
                <c:pt idx="0">
                  <c:v>1.18</c:v>
                </c:pt>
                <c:pt idx="1">
                  <c:v>17.03</c:v>
                </c:pt>
                <c:pt idx="2">
                  <c:v>17.88</c:v>
                </c:pt>
                <c:pt idx="3">
                  <c:v>2.37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CF4-4194-98C2-96C915AC7E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7738496"/>
        <c:axId val="278375232"/>
      </c:barChart>
      <c:catAx>
        <c:axId val="27773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375232"/>
        <c:crosses val="autoZero"/>
        <c:auto val="1"/>
        <c:lblAlgn val="ctr"/>
        <c:lblOffset val="100"/>
        <c:noMultiLvlLbl val="0"/>
      </c:catAx>
      <c:valAx>
        <c:axId val="27837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738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Лист1!$G$87</c:f>
              <c:strCache>
                <c:ptCount val="1"/>
                <c:pt idx="0">
                  <c:v>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Лист1!$H$85:$K$86</c:f>
              <c:strCache>
                <c:ptCount val="4"/>
                <c:pt idx="0">
                  <c:v>не преодолевшие порог</c:v>
                </c:pt>
                <c:pt idx="1">
                  <c:v>в группе от минимального до 60 т.б.,% </c:v>
                </c:pt>
                <c:pt idx="2">
                  <c:v>в группе от 61 до 80 т.б.,% </c:v>
                </c:pt>
                <c:pt idx="3">
                  <c:v>в группе 81-100</c:v>
                </c:pt>
              </c:strCache>
            </c:strRef>
          </c:cat>
          <c:val>
            <c:numRef>
              <c:f>Лист1!$H$87:$K$87</c:f>
              <c:numCache>
                <c:formatCode>General</c:formatCode>
                <c:ptCount val="4"/>
                <c:pt idx="0">
                  <c:v>14.53</c:v>
                </c:pt>
                <c:pt idx="1">
                  <c:v>17.09</c:v>
                </c:pt>
                <c:pt idx="2">
                  <c:v>2.5</c:v>
                </c:pt>
                <c:pt idx="3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02-4680-934E-258E97EA2C67}"/>
            </c:ext>
          </c:extLst>
        </c:ser>
        <c:ser>
          <c:idx val="1"/>
          <c:order val="1"/>
          <c:tx>
            <c:strRef>
              <c:f>Лист1!$G$88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Лист1!$H$85:$K$86</c:f>
              <c:strCache>
                <c:ptCount val="4"/>
                <c:pt idx="0">
                  <c:v>не преодолевшие порог</c:v>
                </c:pt>
                <c:pt idx="1">
                  <c:v>в группе от минимального до 60 т.б.,% </c:v>
                </c:pt>
                <c:pt idx="2">
                  <c:v>в группе от 61 до 80 т.б.,% </c:v>
                </c:pt>
                <c:pt idx="3">
                  <c:v>в группе 81-100</c:v>
                </c:pt>
              </c:strCache>
            </c:strRef>
          </c:cat>
          <c:val>
            <c:numRef>
              <c:f>Лист1!$H$88:$K$88</c:f>
              <c:numCache>
                <c:formatCode>General</c:formatCode>
                <c:ptCount val="4"/>
                <c:pt idx="0">
                  <c:v>7.5</c:v>
                </c:pt>
                <c:pt idx="1">
                  <c:v>23.27</c:v>
                </c:pt>
                <c:pt idx="2">
                  <c:v>10.78</c:v>
                </c:pt>
                <c:pt idx="3">
                  <c:v>0.66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02-4680-934E-258E97EA2C67}"/>
            </c:ext>
          </c:extLst>
        </c:ser>
        <c:ser>
          <c:idx val="2"/>
          <c:order val="2"/>
          <c:tx>
            <c:strRef>
              <c:f>Лист1!$G$89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Лист1!$H$85:$K$86</c:f>
              <c:strCache>
                <c:ptCount val="4"/>
                <c:pt idx="0">
                  <c:v>не преодолевшие порог</c:v>
                </c:pt>
                <c:pt idx="1">
                  <c:v>в группе от минимального до 60 т.б.,% </c:v>
                </c:pt>
                <c:pt idx="2">
                  <c:v>в группе от 61 до 80 т.б.,% </c:v>
                </c:pt>
                <c:pt idx="3">
                  <c:v>в группе 81-100</c:v>
                </c:pt>
              </c:strCache>
            </c:strRef>
          </c:cat>
          <c:val>
            <c:numRef>
              <c:f>Лист1!$H$89:$K$89</c:f>
              <c:numCache>
                <c:formatCode>General</c:formatCode>
                <c:ptCount val="4"/>
                <c:pt idx="0">
                  <c:v>0.79</c:v>
                </c:pt>
                <c:pt idx="1">
                  <c:v>8.5500000000000007</c:v>
                </c:pt>
                <c:pt idx="2">
                  <c:v>12.29</c:v>
                </c:pt>
                <c:pt idx="3">
                  <c:v>1.91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02-4680-934E-258E97EA2C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8097408"/>
        <c:axId val="278379840"/>
      </c:barChart>
      <c:catAx>
        <c:axId val="27809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379840"/>
        <c:crosses val="autoZero"/>
        <c:auto val="1"/>
        <c:lblAlgn val="ctr"/>
        <c:lblOffset val="100"/>
        <c:noMultiLvlLbl val="0"/>
      </c:catAx>
      <c:valAx>
        <c:axId val="27837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09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ЛАУРА</cp:lastModifiedBy>
  <cp:revision>3</cp:revision>
  <dcterms:created xsi:type="dcterms:W3CDTF">2026-02-12T10:53:00Z</dcterms:created>
  <dcterms:modified xsi:type="dcterms:W3CDTF">2026-02-12T10:54:00Z</dcterms:modified>
</cp:coreProperties>
</file>