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D4F" w:rsidRPr="00044D4F" w:rsidRDefault="00044D4F" w:rsidP="001E54C7">
      <w:pPr>
        <w:spacing w:before="100" w:beforeAutospacing="1" w:after="100" w:afterAutospacing="1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Лекция 2.</w:t>
      </w:r>
      <w:r w:rsidR="00550BE8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2</w:t>
      </w:r>
      <w:r w:rsidRPr="00044D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Технологии </w:t>
      </w:r>
      <w:proofErr w:type="spellStart"/>
      <w:r w:rsidRPr="00044D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тьюторского</w:t>
      </w:r>
      <w:proofErr w:type="spellEnd"/>
      <w:r w:rsidRPr="00044D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сопровождения</w:t>
      </w:r>
    </w:p>
    <w:p w:rsidR="00044D4F" w:rsidRPr="00044D4F" w:rsidRDefault="00044D4F" w:rsidP="001E54C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Полное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тьютерское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действие включает несколько этапов, каждый из которых может содержать множество технологий.</w:t>
      </w:r>
    </w:p>
    <w:p w:rsidR="00044D4F" w:rsidRPr="00044D4F" w:rsidRDefault="00044D4F" w:rsidP="001E54C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1. В работе с каждым учащимся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, прежде всего, должен провести личностное ресурсное картирование. Эта работа связана с представлением об окружающем образовательном пространстве, о ресурсах, которые в нем есть. </w:t>
      </w:r>
      <w:proofErr w:type="gram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То есть здесь нужно понимать, что все, что нас окружает, может быть ресурсом для личностного развития: люди, места, события, информация, культурные наработки, произведения искусства и т. д.</w:t>
      </w:r>
      <w:proofErr w:type="gramEnd"/>
    </w:p>
    <w:p w:rsidR="00044D4F" w:rsidRPr="00044D4F" w:rsidRDefault="00044D4F" w:rsidP="001E54C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Также ресурсом развития являются личностные качества — самоорганизация, способность планирования и т. д. И важно, чтобы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мог составить для учащегося личностную ресурсную карту, в которой будут обозначены те окружающие ресурсы, которые можно использовать для достижения целей.</w:t>
      </w:r>
    </w:p>
    <w:p w:rsidR="00044D4F" w:rsidRPr="00044D4F" w:rsidRDefault="00044D4F" w:rsidP="001E54C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2.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создает образовательную среду. Если учитель может выйти к классу и просто начать рассказывать тему урока, то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, как средовой человек, не может начинать непосредственно действовать. Он сначала должен создать среду. Она создается на разных принципах: во-первых, нужно выяснить какие ресурсы есть в этой среде. Во-вторых, должна быть вариативность. Также необходима открытость (т. е. ребенок может сам привнести что-то в эту среду, например, обсуждение может строиться на тех книгах, фильмах и т. д. которые учащийся знает).</w:t>
      </w:r>
    </w:p>
    <w:p w:rsidR="00044D4F" w:rsidRPr="00044D4F" w:rsidRDefault="00044D4F" w:rsidP="001E54C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Для работы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важно, чтобы была организована насыщенная образовательная среда.</w:t>
      </w:r>
    </w:p>
    <w:p w:rsidR="00044D4F" w:rsidRPr="00044D4F" w:rsidRDefault="00044D4F" w:rsidP="001E54C7">
      <w:pPr>
        <w:spacing w:before="100" w:beforeAutospacing="1" w:after="100" w:afterAutospacing="1" w:line="360" w:lineRule="auto"/>
        <w:ind w:firstLine="1134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3. В этой среде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должен помочь учащемуся создать маршрут для достижения образовательных целей и помочь следовать по нему. Фактически он должен осуществлять сопровождение.</w:t>
      </w:r>
    </w:p>
    <w:p w:rsidR="00044D4F" w:rsidRPr="00044D4F" w:rsidRDefault="00044D4F" w:rsidP="001E54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lastRenderedPageBreak/>
        <w:t>Задания для самоконтроля</w:t>
      </w:r>
    </w:p>
    <w:p w:rsidR="00044D4F" w:rsidRPr="00044D4F" w:rsidRDefault="00044D4F" w:rsidP="001E54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Задание 1. </w:t>
      </w: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Поразмышляйте на тему, что подразумевается под понятием «личное ресурсное картирование».</w:t>
      </w:r>
    </w:p>
    <w:p w:rsidR="00044D4F" w:rsidRPr="00044D4F" w:rsidRDefault="00044D4F" w:rsidP="001E54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Задание 2. </w:t>
      </w: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Определите, какие составляющие должны быть включены в образовательную среду, которую должен создать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044D4F" w:rsidRPr="00044D4F" w:rsidRDefault="00044D4F" w:rsidP="001E54C7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Задание 3. </w:t>
      </w: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Составьте список условий для составления личного образовательного маршрута учащегося.</w:t>
      </w:r>
    </w:p>
    <w:p w:rsidR="001E54C7" w:rsidRDefault="001E54C7" w:rsidP="00044D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bCs/>
          <w:color w:val="373D3F"/>
          <w:sz w:val="27"/>
          <w:szCs w:val="27"/>
          <w:lang w:eastAsia="ru-RU"/>
        </w:rPr>
      </w:pPr>
    </w:p>
    <w:p w:rsidR="00044D4F" w:rsidRPr="00044D4F" w:rsidRDefault="001E54C7" w:rsidP="00044D4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73D3F"/>
          <w:sz w:val="27"/>
          <w:szCs w:val="27"/>
          <w:lang w:eastAsia="ru-RU"/>
        </w:rPr>
      </w:pPr>
      <w:r>
        <w:rPr>
          <w:rFonts w:ascii="Arial" w:eastAsia="Times New Roman" w:hAnsi="Arial" w:cs="Arial"/>
          <w:b/>
          <w:bCs/>
          <w:color w:val="373D3F"/>
          <w:sz w:val="27"/>
          <w:szCs w:val="27"/>
          <w:lang w:eastAsia="ru-RU"/>
        </w:rPr>
        <w:t xml:space="preserve"> </w:t>
      </w: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1E54C7" w:rsidRDefault="001E54C7" w:rsidP="00044D4F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48"/>
          <w:szCs w:val="48"/>
          <w:lang w:eastAsia="ru-RU"/>
        </w:rPr>
      </w:pP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lastRenderedPageBreak/>
        <w:t xml:space="preserve">Административные вопросы включения </w:t>
      </w:r>
      <w:proofErr w:type="spellStart"/>
      <w:r w:rsidRPr="00044D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  <w:t xml:space="preserve"> в образовательный процесс</w:t>
      </w:r>
    </w:p>
    <w:p w:rsidR="00044D4F" w:rsidRPr="00044D4F" w:rsidRDefault="00044D4F" w:rsidP="00F347A2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Организационно-управленческие ресурсы включения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 образовательный процесс находятся в настоящее время полностью в компетенции образовательной организации. Если должность заявлена номенклатуре, то она может быть учтена в штатном расписании организации и новые сотрудники могут быть приняты на работу. В некоторых случаях уже работающие в организации сотрудники проходят курсы повышения квалификации и имеют возможность совмещать свои обычные обязанности с работой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Однако если речь идет об инклюзивном образовании, то такое совмещение бывает затруднительно, так как при некоторых нозологиях учащемуся требуется постоянное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тьюторское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сопровождение. Бывают случаи, когда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нанимают родители учащегося, тогда образовательная организация должна заключить трехсторонний договор между участниками процесса.</w:t>
      </w:r>
    </w:p>
    <w:p w:rsidR="00044D4F" w:rsidRPr="00044D4F" w:rsidRDefault="00044D4F" w:rsidP="00F347A2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Нагрузка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составляет 36 ч в неделю. Однако если для обычного учителя при такой же нагрузке непосредственная работа с учащимися должна составлять 18 ч в неделю, то для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часы «контактной» нагрузки не выделены. В 36 ч занятости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входят различные виды работ: методическая, непосредственная работа с ребенком, консультации и т. д.</w:t>
      </w:r>
    </w:p>
    <w:p w:rsidR="00044D4F" w:rsidRPr="00044D4F" w:rsidRDefault="00044D4F" w:rsidP="00F347A2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Опираясь на квалификационные требования к стандартам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тьюторской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деятельности, каждая образовательная организация должна самостоятельно сформировать должностные обязанности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и определить, как они будут распределяться в рамках этих 36 ч. Также важно заметить, что для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тьюторов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продолжительность отпуска установлена такая же, как и для других педагогических работников.</w:t>
      </w:r>
    </w:p>
    <w:p w:rsidR="00044D4F" w:rsidRPr="00044D4F" w:rsidRDefault="00044D4F" w:rsidP="00F347A2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Таким образом, с организационной точки зрения именно администрация образовательной организации формирует позиции в штатном расписании и определяет количество ставок для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тьюторов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044D4F" w:rsidRPr="00044D4F" w:rsidRDefault="00044D4F" w:rsidP="00F347A2">
      <w:pPr>
        <w:spacing w:before="100" w:beforeAutospacing="1" w:after="100" w:afterAutospacing="1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Например, есть образовательные организации, в которых ставки классных руководителей заменены ставками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тьюторов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. Однако в таком случае к функциям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тьюторов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добавляются дополнительные обязанности, которые раньше осуществляли классные руководители.</w:t>
      </w:r>
    </w:p>
    <w:p w:rsidR="00F347A2" w:rsidRDefault="00F347A2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</w:pP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bookmarkStart w:id="0" w:name="_GoBack"/>
      <w:bookmarkEnd w:id="0"/>
      <w:r w:rsidRPr="00044D4F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lastRenderedPageBreak/>
        <w:t>Задания для самоконтроля</w:t>
      </w: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Задание 1. </w:t>
      </w: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Определите, какие организационно-управленческие ресурсы есть у образовательной организации для осуществления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тью-торского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сопровождения учащихся.</w:t>
      </w: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Задание 2. </w:t>
      </w: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Проанализируйте, почему наполнение учебной нагрузки преподавателя отличается от учебной нагрузки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</w:t>
      </w: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373D3F"/>
          <w:sz w:val="28"/>
          <w:szCs w:val="28"/>
          <w:lang w:eastAsia="ru-RU"/>
        </w:rPr>
        <w:t>Задание 3. </w:t>
      </w: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Составьте список должностных обязанностей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, которые он должен выполнять при работе в образовательной организации.</w:t>
      </w: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Источники и литература</w:t>
      </w: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Квалификационные характеристики должностей работников образования // Единый квалификационный справочник должностей руководителей, специалистов и служащих — утвержден Приказом Министерства здравоохранения и социального развития РФ от 26 августа 2010 г. № 761н.</w:t>
      </w: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i/>
          <w:iCs/>
          <w:color w:val="373D3F"/>
          <w:sz w:val="28"/>
          <w:szCs w:val="28"/>
          <w:lang w:eastAsia="ru-RU"/>
        </w:rPr>
        <w:t>Ковалева, Т. М.</w:t>
      </w: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 Профессия «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» / Т. М. Ковалева, Е. И.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Кобыща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, С. Ю. Попова (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Смолик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), А. А.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Теров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, М. Ю. Че-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редилина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. — Москва</w:t>
      </w:r>
      <w:proofErr w:type="gram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;</w:t>
      </w:r>
      <w:proofErr w:type="gram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Тверь, 2012.</w:t>
      </w: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Профессиональный стандарт «Специалист в области воспитания» — утвержден Приказом Министерства труда и социальной защиты РФ от 10 января 2017 г. № Юн.</w:t>
      </w:r>
    </w:p>
    <w:p w:rsidR="00044D4F" w:rsidRPr="00044D4F" w:rsidRDefault="00044D4F" w:rsidP="001E54C7">
      <w:pPr>
        <w:spacing w:before="100" w:beforeAutospacing="1" w:after="100" w:afterAutospacing="1" w:line="240" w:lineRule="auto"/>
        <w:ind w:firstLine="851"/>
        <w:jc w:val="both"/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</w:pPr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Профессия </w:t>
      </w:r>
      <w:proofErr w:type="spellStart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>тьютор</w:t>
      </w:r>
      <w:proofErr w:type="spellEnd"/>
      <w:r w:rsidRPr="00044D4F">
        <w:rPr>
          <w:rFonts w:ascii="Times New Roman" w:eastAsia="Times New Roman" w:hAnsi="Times New Roman" w:cs="Times New Roman"/>
          <w:color w:val="373D3F"/>
          <w:sz w:val="28"/>
          <w:szCs w:val="28"/>
          <w:lang w:eastAsia="ru-RU"/>
        </w:rPr>
        <w:t xml:space="preserve"> // Информационно-методический бюллетень. — Москва, 2013.</w:t>
      </w:r>
    </w:p>
    <w:p w:rsidR="008D7BB1" w:rsidRPr="001E54C7" w:rsidRDefault="008D7BB1" w:rsidP="001E54C7">
      <w:pPr>
        <w:ind w:firstLine="851"/>
        <w:rPr>
          <w:rFonts w:ascii="Times New Roman" w:hAnsi="Times New Roman" w:cs="Times New Roman"/>
          <w:sz w:val="28"/>
          <w:szCs w:val="28"/>
        </w:rPr>
      </w:pPr>
    </w:p>
    <w:sectPr w:rsidR="008D7BB1" w:rsidRPr="001E5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D4F"/>
    <w:rsid w:val="00044D4F"/>
    <w:rsid w:val="000A6FFF"/>
    <w:rsid w:val="001E54C7"/>
    <w:rsid w:val="00550BE8"/>
    <w:rsid w:val="008D7BB1"/>
    <w:rsid w:val="00F3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1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764</Words>
  <Characters>4356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Кучукова</dc:creator>
  <cp:lastModifiedBy>Кучукова</cp:lastModifiedBy>
  <cp:revision>3</cp:revision>
  <dcterms:created xsi:type="dcterms:W3CDTF">2024-01-31T05:39:00Z</dcterms:created>
  <dcterms:modified xsi:type="dcterms:W3CDTF">2024-01-31T05:43:00Z</dcterms:modified>
</cp:coreProperties>
</file>