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7A" w:rsidRDefault="009217DF">
      <w:pPr>
        <w:shd w:val="clear" w:color="auto" w:fill="FFFFFF"/>
        <w:spacing w:after="0" w:line="360" w:lineRule="auto"/>
        <w:jc w:val="right"/>
        <w:rPr>
          <w:rFonts w:ascii="Times New Roman" w:eastAsiaTheme="majorEastAsia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i/>
          <w:color w:val="000000" w:themeColor="text1"/>
          <w:sz w:val="28"/>
          <w:szCs w:val="28"/>
        </w:rPr>
        <w:t>Использование игровых приёмов в обучении школьников</w:t>
      </w:r>
    </w:p>
    <w:p w:rsidR="00B86B7A" w:rsidRDefault="00B72450">
      <w:pPr>
        <w:shd w:val="clear" w:color="auto" w:fill="FFFFFF"/>
        <w:spacing w:after="0" w:line="360" w:lineRule="auto"/>
        <w:jc w:val="right"/>
        <w:rPr>
          <w:rFonts w:ascii="Times New Roman" w:eastAsiaTheme="majorEastAsia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B86B7A" w:rsidRDefault="009217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Согласно образовательному документу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федеральному государственному образовательному стандарту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начального общего образования (далее – ФГОС НОО), в основе процесса обучения школьников лежит системно-деятельностный подход, реализация которого требует применения соответствующего методического обеспечения.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 методистами стал вопрос о разработке так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технологий обучения, которые будут отвечать требованиям образовательного стандарта второго поколения.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Как правило, эта задача находит решение за счет применения в процессе обучения активных и интерактивных методов и приемов.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Одним из таких методически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родуктивных элементов стали игровые приемы обучения [1].</w:t>
      </w:r>
    </w:p>
    <w:p w:rsidR="00B86B7A" w:rsidRDefault="009217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то, что игра прежде рассматривалась преимущественно как развлечение, в законе «Об образовании в Российской Федерации» игровым приемам отвели немаловажную роль в формировании познавательны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х, творческих, методологических качеств личности обучающихся [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начала нужно определить, что такое игра и откуда она берет свои истоки, как реализовывается в качестве игровых приемов.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терминологии, игра – это вид деятельности в условиях ситуаций, </w:t>
      </w:r>
      <w:r>
        <w:rPr>
          <w:color w:val="000000" w:themeColor="text1"/>
          <w:sz w:val="28"/>
          <w:szCs w:val="28"/>
        </w:rPr>
        <w:t>направленных на воссоздание и усвоение общественного опыта, в котором складывается и совершенствуется самоуправление поведением. С точки зрения педагогики, игра – это естественный для детей, но при этом довольно эффективный способ обучения [7].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Игра реализуется в системе обучения как технология, метод и прием. Мы же более подробнее будем рассматривать игровые приемы, т.к. это непосредственно связано с терминологией нашей темы исследования.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История реализации игры как обучающего компонента уходит </w:t>
      </w:r>
      <w:r>
        <w:rPr>
          <w:color w:val="000000" w:themeColor="text1"/>
          <w:sz w:val="28"/>
          <w:szCs w:val="28"/>
        </w:rPr>
        <w:t xml:space="preserve">глубоко в древность, беря начало с рождения самого понятия и принципа передачи навыков и умений от человека к человеку. Первые упоминания относятся к </w:t>
      </w:r>
      <w:r>
        <w:rPr>
          <w:color w:val="000000" w:themeColor="text1"/>
          <w:sz w:val="28"/>
          <w:szCs w:val="28"/>
        </w:rPr>
        <w:lastRenderedPageBreak/>
        <w:t>древним школам Афин VI-IV веков до н.э., когда использовался принцип агностики (состязания) во всех на тот</w:t>
      </w:r>
      <w:r>
        <w:rPr>
          <w:color w:val="000000" w:themeColor="text1"/>
          <w:sz w:val="28"/>
          <w:szCs w:val="28"/>
        </w:rPr>
        <w:t xml:space="preserve"> момент сферах обучения: гимнастики, риторика, музыка, танцы.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Видоизмененные игровые методы и приемы принимались в Х веке на уроках риторики, когда обучение в основном было рутинным и полностью пассивным. В это время игра имела вид современной дискуссии, к</w:t>
      </w:r>
      <w:r>
        <w:rPr>
          <w:color w:val="000000" w:themeColor="text1"/>
          <w:sz w:val="28"/>
          <w:szCs w:val="28"/>
        </w:rPr>
        <w:t>огда обучающиеся использовали в основном словесные приемы: пересказ, цитирование на память, импровизации, комментирование.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Более современное отношение и роль в обучении игровые ситуации стали приобретать в период Возрождения и Реформации. Роль в этом сыгра</w:t>
      </w:r>
      <w:r>
        <w:rPr>
          <w:color w:val="000000" w:themeColor="text1"/>
          <w:sz w:val="28"/>
          <w:szCs w:val="28"/>
        </w:rPr>
        <w:t>ли такие видные деятели, как Т. Компанелла и Ф. Рабле, которые придерживались принципа постановки образовательного процесса с использованием различных методов и приемов обучения, ставя упор на игровые приемы, что разнообразило бы рутину обучения.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XVII ве</w:t>
      </w:r>
      <w:r>
        <w:rPr>
          <w:color w:val="000000" w:themeColor="text1"/>
          <w:sz w:val="28"/>
          <w:szCs w:val="28"/>
        </w:rPr>
        <w:t>ке особое внимание организации игровой деятельности уделял великий педагог-реформатор Ян Амос Каменский. Он определял игровые приемы как ведущие приемы обучения, призывая все школы перейти на обучение с упором на игру. Этой же точки зрения придерживался Дж</w:t>
      </w:r>
      <w:r>
        <w:rPr>
          <w:color w:val="000000" w:themeColor="text1"/>
          <w:sz w:val="28"/>
          <w:szCs w:val="28"/>
        </w:rPr>
        <w:t xml:space="preserve">он Локк, Жан-Жак Руссо. 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Современный вид игровая технология приобрела в момент распространения использования деловых игр, что стало основой разработки большого количества методов и приемов, в совокупности получивших название методов активного обучения. Пер</w:t>
      </w:r>
      <w:r>
        <w:rPr>
          <w:color w:val="000000" w:themeColor="text1"/>
          <w:sz w:val="28"/>
          <w:szCs w:val="28"/>
        </w:rPr>
        <w:t>вооткрывателем разработки и реализации игры в отечественной практике стал М.М. Бирштейн в 1932 году. Этот пример использования игровых приемов быстро приобрел популярность, но в 1938 году игровая деятельность как научное явление в педагогике наряду с больш</w:t>
      </w:r>
      <w:r>
        <w:rPr>
          <w:color w:val="000000" w:themeColor="text1"/>
          <w:sz w:val="28"/>
          <w:szCs w:val="28"/>
        </w:rPr>
        <w:t xml:space="preserve">инством научных разработок была запрещена. </w:t>
      </w:r>
      <w:r>
        <w:rPr>
          <w:color w:val="000000" w:themeColor="text1"/>
          <w:sz w:val="28"/>
          <w:szCs w:val="28"/>
        </w:rPr>
        <w:br/>
        <w:t>К теме использования игровых приемов в обучении снова возник интерес лишь в 1960-е годы, придя в советскую педагогику как веяние из США в разработках Ф. Грея, К. Гринбалта, Р. Дьюка [6].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XXI веке роль игровых п</w:t>
      </w:r>
      <w:r>
        <w:rPr>
          <w:color w:val="000000" w:themeColor="text1"/>
          <w:sz w:val="28"/>
          <w:szCs w:val="28"/>
        </w:rPr>
        <w:t>риемов в свете разработки современного образовательного стандарта приобретает большее значение. Так как в современном образовании упор делается на активизацию знаний и самостоятельную деятельность обучающихся, то игровые приемы, исходящие из игровой концеп</w:t>
      </w:r>
      <w:r>
        <w:rPr>
          <w:color w:val="000000" w:themeColor="text1"/>
          <w:sz w:val="28"/>
          <w:szCs w:val="28"/>
        </w:rPr>
        <w:t>ции, реализуются следующим образом: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качестве самостоятельной технологии;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как элемент педагогической технологии;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качестве части урока (и его формы);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 внеклассной работе [3].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структуру организации урока с использованием игровых приемов входят</w:t>
      </w:r>
      <w:r>
        <w:rPr>
          <w:color w:val="000000" w:themeColor="text1"/>
          <w:sz w:val="28"/>
          <w:szCs w:val="28"/>
        </w:rPr>
        <w:t xml:space="preserve"> целеполагание, планирование, реализация цели и анализ полученных результатов, что отвечает основным требованиям ФГОС в адрес учителя. Используя игровые приемы обучения, учитель берет во внимание интересы обучающихся, организуя на их основе весь процесс об</w:t>
      </w:r>
      <w:r>
        <w:rPr>
          <w:color w:val="000000" w:themeColor="text1"/>
          <w:sz w:val="28"/>
          <w:szCs w:val="28"/>
        </w:rPr>
        <w:t>учения на уроке. При этом важно отметить, что реализация игровых приемов на современном уроке считается эффективным методом обучения за счет ненавязчивости обучающимся, элементов соревновательности, что дает возможность самоутвердиться и самореализоваться.</w:t>
      </w:r>
      <w:r>
        <w:rPr>
          <w:color w:val="000000" w:themeColor="text1"/>
          <w:sz w:val="28"/>
          <w:szCs w:val="28"/>
        </w:rPr>
        <w:t xml:space="preserve"> Основное преимущество игровой ситуации на уроке – это максимальное приближение искусственной ситуации к естественным условиям реальной жизни [4]. 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Исходя из вышесказанного, целями применения игрового приема на уроке для обучающихся являются: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развитие мы</w:t>
      </w:r>
      <w:r>
        <w:rPr>
          <w:color w:val="000000" w:themeColor="text1"/>
          <w:sz w:val="28"/>
          <w:szCs w:val="28"/>
        </w:rPr>
        <w:t>шления;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повышение интереса к изучению предмета;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обеспечение формированию личностных качеств обучающихся;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способствование коммуникативных способностей;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привитие доброжелательности и активности в «повседневной» </w:t>
      </w:r>
      <w:r>
        <w:rPr>
          <w:color w:val="000000" w:themeColor="text1"/>
          <w:sz w:val="28"/>
          <w:szCs w:val="28"/>
        </w:rPr>
        <w:br/>
        <w:t>жизни.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Реализация игровых приемов в </w:t>
      </w:r>
      <w:r>
        <w:rPr>
          <w:color w:val="000000" w:themeColor="text1"/>
          <w:sz w:val="28"/>
          <w:szCs w:val="28"/>
        </w:rPr>
        <w:t>ходе образовательного процесса происходит по следующим принципам: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 Постановка дидактических целей перед обучающимися в виде игровой задачи.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Построение учебной деятельности на уроке в соответствии с поставленными игровыми правилами.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Прогнозирование </w:t>
      </w:r>
      <w:r>
        <w:rPr>
          <w:color w:val="000000" w:themeColor="text1"/>
          <w:sz w:val="28"/>
          <w:szCs w:val="28"/>
        </w:rPr>
        <w:t>выполнения дидактических заданий в связи с планируемым игровым результатом [5].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многообразием игровых приемов неоднократно были предприняты попытки классификаций педагогических игр. В основном, большинство педагогов склоняются к обобщенной систем</w:t>
      </w:r>
      <w:r>
        <w:rPr>
          <w:color w:val="000000" w:themeColor="text1"/>
          <w:sz w:val="28"/>
          <w:szCs w:val="28"/>
        </w:rPr>
        <w:t>е классификации игр (и, соответственно, игровых приемов):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По виду деятельности: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физические (двигательные),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интеллектуальные (умственные),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трудовые, 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социальные 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психологические.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По характеру педагогического процесса: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обучающие, тренировоч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ные, контролирующие, обобщающие 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познавательные, воспитательные, развивающие;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репродуктивные, продуктивные, творческие;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коммуникативные, диагностические, профориентационные, психотехнические.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По характеру игровой методики: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предметные, 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сюжетны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ролевые, 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деловые, 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имитационные,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игры-драматизации.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По предметной области: игры по всем школьным дисциплинам.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 По игровой среде: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игры с предметами и без предметов, 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настольные, 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комнатные, уличные, на местности;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компьютерные 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ТСО,</w:t>
      </w: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 разными средствами передвижения.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По организации контроля:</w:t>
      </w:r>
    </w:p>
    <w:p w:rsidR="00B86B7A" w:rsidRDefault="009217DF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игры с готовыми «жесткими» правилами; </w:t>
      </w:r>
    </w:p>
    <w:p w:rsidR="00B86B7A" w:rsidRDefault="009217DF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игры «вольные», правила которых устанавливаются по ходу игровых действий;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игры, в которых наличествует и свободная игровая стихия, и правила,</w:t>
      </w:r>
      <w:r>
        <w:rPr>
          <w:color w:val="000000" w:themeColor="text1"/>
          <w:sz w:val="28"/>
          <w:szCs w:val="28"/>
        </w:rPr>
        <w:t xml:space="preserve"> принятые в качестве условия игры и возникающие по ее ходу.</w:t>
      </w:r>
    </w:p>
    <w:p w:rsidR="00B86B7A" w:rsidRDefault="009217DF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aj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мы можем сделать вывод, что игра в обучении – это целостный комплекс методов и приемов, направленных на активизацию знаний обучающихся. За счет затрагивания различных сфер деятельно</w:t>
      </w:r>
      <w:r>
        <w:rPr>
          <w:color w:val="000000" w:themeColor="text1"/>
          <w:sz w:val="28"/>
          <w:szCs w:val="28"/>
        </w:rPr>
        <w:t xml:space="preserve">сти игровая деятельность позволяет решить большинство метапредметных задач. </w:t>
      </w:r>
    </w:p>
    <w:p w:rsidR="00B86B7A" w:rsidRDefault="00B86B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6B7A" w:rsidRDefault="009217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B86B7A" w:rsidRDefault="009217D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" w:name="_Toc99915752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ЛИТЕРАТУРЫ</w:t>
      </w:r>
      <w:bookmarkEnd w:id="1"/>
    </w:p>
    <w:p w:rsidR="00B86B7A" w:rsidRDefault="00B86B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6B7A" w:rsidRDefault="009217DF">
      <w:pPr>
        <w:pStyle w:val="a4"/>
        <w:numPr>
          <w:ilvl w:val="0"/>
          <w:numId w:val="2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B86B7A" w:rsidRDefault="009217DF">
      <w:pPr>
        <w:pStyle w:val="a4"/>
        <w:numPr>
          <w:ilvl w:val="0"/>
          <w:numId w:val="2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Федеральный закон «Об образовании в РФ» №273-ФЗ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(статья 48, п.4,5).</w:t>
      </w:r>
    </w:p>
    <w:p w:rsidR="00B86B7A" w:rsidRDefault="009217DF">
      <w:pPr>
        <w:pStyle w:val="a4"/>
        <w:numPr>
          <w:ilvl w:val="0"/>
          <w:numId w:val="2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Григорьев, И. С. Игровые технологии в дополнительном образовании // Молодой ученый.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Москва, 2018. С. 1-3. </w:t>
      </w:r>
    </w:p>
    <w:p w:rsidR="00B86B7A" w:rsidRDefault="009217DF">
      <w:pPr>
        <w:pStyle w:val="a4"/>
        <w:numPr>
          <w:ilvl w:val="0"/>
          <w:numId w:val="2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технологии нового поколения. [Электронный ресурс]. – Режим доступа: </w:t>
      </w:r>
      <w:hyperlink r:id="rId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infourok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igrovie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tehnologii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novogo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pokoleniya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-1302454.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html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10.08.2022).</w:t>
      </w:r>
    </w:p>
    <w:p w:rsidR="00B86B7A" w:rsidRDefault="009217DF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Капитонов АЛ. Организационно-деятельностная игра в школе // Школьные тех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нологии. 2020. № 2. С. 25-29.</w:t>
      </w:r>
    </w:p>
    <w:p w:rsidR="00B86B7A" w:rsidRDefault="009217DF">
      <w:pPr>
        <w:pStyle w:val="a4"/>
        <w:numPr>
          <w:ilvl w:val="0"/>
          <w:numId w:val="2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Селевко, Г.К. Современные образовательные технологии /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Г.К. Селевко. – Москва: Народное образование, 2017. 167 с. </w:t>
      </w:r>
    </w:p>
    <w:p w:rsidR="00B86B7A" w:rsidRDefault="009217DF">
      <w:pPr>
        <w:pStyle w:val="a4"/>
        <w:numPr>
          <w:ilvl w:val="0"/>
          <w:numId w:val="2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Шмалов, С.А. Игры учащихся – феномен культуры /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С.А. Шмалов. – Москва: Новая школа, 2018. 97 с. </w:t>
      </w:r>
    </w:p>
    <w:p w:rsidR="00B86B7A" w:rsidRDefault="00B86B7A">
      <w:pPr>
        <w:rPr>
          <w:color w:val="000000" w:themeColor="text1"/>
        </w:rPr>
      </w:pPr>
    </w:p>
    <w:sectPr w:rsidR="00B86B7A">
      <w:footerReference w:type="default" r:id="rId9"/>
      <w:pgSz w:w="11906" w:h="16838"/>
      <w:pgMar w:top="1134" w:right="850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7DF" w:rsidRDefault="009217DF">
      <w:pPr>
        <w:spacing w:after="0" w:line="240" w:lineRule="auto"/>
      </w:pPr>
      <w:r>
        <w:separator/>
      </w:r>
    </w:p>
  </w:endnote>
  <w:endnote w:type="continuationSeparator" w:id="0">
    <w:p w:rsidR="009217DF" w:rsidRDefault="0092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384007"/>
      <w:docPartObj>
        <w:docPartGallery w:val="Page Numbers (Bottom of Page)"/>
        <w:docPartUnique/>
      </w:docPartObj>
    </w:sdtPr>
    <w:sdtEndPr/>
    <w:sdtContent>
      <w:p w:rsidR="00B86B7A" w:rsidRDefault="009217DF">
        <w:pPr>
          <w:pStyle w:val="a7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2450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B86B7A" w:rsidRDefault="00B86B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7DF" w:rsidRDefault="009217DF">
      <w:pPr>
        <w:spacing w:after="0" w:line="240" w:lineRule="auto"/>
      </w:pPr>
      <w:r>
        <w:separator/>
      </w:r>
    </w:p>
  </w:footnote>
  <w:footnote w:type="continuationSeparator" w:id="0">
    <w:p w:rsidR="009217DF" w:rsidRDefault="00921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A91"/>
    <w:multiLevelType w:val="hybridMultilevel"/>
    <w:tmpl w:val="9F9C9550"/>
    <w:lvl w:ilvl="0" w:tplc="8408C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D2321"/>
    <w:multiLevelType w:val="hybridMultilevel"/>
    <w:tmpl w:val="A0EAB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730D4"/>
    <w:multiLevelType w:val="hybridMultilevel"/>
    <w:tmpl w:val="F1D8B374"/>
    <w:lvl w:ilvl="0" w:tplc="7B96B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37357"/>
    <w:multiLevelType w:val="hybridMultilevel"/>
    <w:tmpl w:val="6CD6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979DF"/>
    <w:multiLevelType w:val="hybridMultilevel"/>
    <w:tmpl w:val="7B9EC628"/>
    <w:lvl w:ilvl="0" w:tplc="F97E0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ED0B78"/>
    <w:multiLevelType w:val="hybridMultilevel"/>
    <w:tmpl w:val="5DC2614E"/>
    <w:lvl w:ilvl="0" w:tplc="A5D446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C68ED"/>
    <w:multiLevelType w:val="hybridMultilevel"/>
    <w:tmpl w:val="2644640A"/>
    <w:lvl w:ilvl="0" w:tplc="2CE4A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453929"/>
    <w:multiLevelType w:val="hybridMultilevel"/>
    <w:tmpl w:val="13F60BCC"/>
    <w:lvl w:ilvl="0" w:tplc="7B96BAA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820B6F"/>
    <w:multiLevelType w:val="hybridMultilevel"/>
    <w:tmpl w:val="CAFCBD8A"/>
    <w:lvl w:ilvl="0" w:tplc="7B96B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5432D"/>
    <w:multiLevelType w:val="hybridMultilevel"/>
    <w:tmpl w:val="F3A4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8678A"/>
    <w:multiLevelType w:val="hybridMultilevel"/>
    <w:tmpl w:val="AA0A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97D8F"/>
    <w:multiLevelType w:val="hybridMultilevel"/>
    <w:tmpl w:val="72163DB8"/>
    <w:lvl w:ilvl="0" w:tplc="7B96B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67193"/>
    <w:multiLevelType w:val="hybridMultilevel"/>
    <w:tmpl w:val="B032ED10"/>
    <w:lvl w:ilvl="0" w:tplc="7B96BA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122CC"/>
    <w:multiLevelType w:val="hybridMultilevel"/>
    <w:tmpl w:val="47564550"/>
    <w:lvl w:ilvl="0" w:tplc="FC7CCC9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6F41F6"/>
    <w:multiLevelType w:val="hybridMultilevel"/>
    <w:tmpl w:val="3336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43282"/>
    <w:multiLevelType w:val="hybridMultilevel"/>
    <w:tmpl w:val="EB42C722"/>
    <w:lvl w:ilvl="0" w:tplc="FC7CCC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1385E"/>
    <w:multiLevelType w:val="hybridMultilevel"/>
    <w:tmpl w:val="D6FE815C"/>
    <w:lvl w:ilvl="0" w:tplc="C1068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5A04A0"/>
    <w:multiLevelType w:val="hybridMultilevel"/>
    <w:tmpl w:val="7F46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77BC6"/>
    <w:multiLevelType w:val="hybridMultilevel"/>
    <w:tmpl w:val="3A6A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CCC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074BA"/>
    <w:multiLevelType w:val="hybridMultilevel"/>
    <w:tmpl w:val="A7D4EBBA"/>
    <w:lvl w:ilvl="0" w:tplc="7B96BA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26617D"/>
    <w:multiLevelType w:val="hybridMultilevel"/>
    <w:tmpl w:val="B046E142"/>
    <w:lvl w:ilvl="0" w:tplc="301AA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8662E"/>
    <w:multiLevelType w:val="hybridMultilevel"/>
    <w:tmpl w:val="7C3CAEF6"/>
    <w:lvl w:ilvl="0" w:tplc="A954AAF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873943"/>
    <w:multiLevelType w:val="hybridMultilevel"/>
    <w:tmpl w:val="F9D033D6"/>
    <w:lvl w:ilvl="0" w:tplc="7B96BA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320B26"/>
    <w:multiLevelType w:val="hybridMultilevel"/>
    <w:tmpl w:val="BDB2F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A56A7"/>
    <w:multiLevelType w:val="hybridMultilevel"/>
    <w:tmpl w:val="8B66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D7289"/>
    <w:multiLevelType w:val="hybridMultilevel"/>
    <w:tmpl w:val="3850D15A"/>
    <w:lvl w:ilvl="0" w:tplc="F522B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C77849"/>
    <w:multiLevelType w:val="hybridMultilevel"/>
    <w:tmpl w:val="942E18C8"/>
    <w:lvl w:ilvl="0" w:tplc="7B96BA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FD4574"/>
    <w:multiLevelType w:val="hybridMultilevel"/>
    <w:tmpl w:val="736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00869"/>
    <w:multiLevelType w:val="hybridMultilevel"/>
    <w:tmpl w:val="CC04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233E1"/>
    <w:multiLevelType w:val="hybridMultilevel"/>
    <w:tmpl w:val="02746A86"/>
    <w:lvl w:ilvl="0" w:tplc="A5D446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1518F0"/>
    <w:multiLevelType w:val="multilevel"/>
    <w:tmpl w:val="BD5AC92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B90FB5"/>
    <w:multiLevelType w:val="hybridMultilevel"/>
    <w:tmpl w:val="F654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7"/>
  </w:num>
  <w:num w:numId="4">
    <w:abstractNumId w:val="30"/>
  </w:num>
  <w:num w:numId="5">
    <w:abstractNumId w:val="14"/>
  </w:num>
  <w:num w:numId="6">
    <w:abstractNumId w:val="1"/>
  </w:num>
  <w:num w:numId="7">
    <w:abstractNumId w:val="17"/>
  </w:num>
  <w:num w:numId="8">
    <w:abstractNumId w:val="19"/>
  </w:num>
  <w:num w:numId="9">
    <w:abstractNumId w:val="21"/>
  </w:num>
  <w:num w:numId="10">
    <w:abstractNumId w:val="28"/>
  </w:num>
  <w:num w:numId="11">
    <w:abstractNumId w:val="9"/>
  </w:num>
  <w:num w:numId="12">
    <w:abstractNumId w:val="15"/>
  </w:num>
  <w:num w:numId="13">
    <w:abstractNumId w:val="13"/>
  </w:num>
  <w:num w:numId="14">
    <w:abstractNumId w:val="0"/>
  </w:num>
  <w:num w:numId="15">
    <w:abstractNumId w:val="16"/>
  </w:num>
  <w:num w:numId="16">
    <w:abstractNumId w:val="18"/>
  </w:num>
  <w:num w:numId="17">
    <w:abstractNumId w:val="4"/>
  </w:num>
  <w:num w:numId="18">
    <w:abstractNumId w:val="6"/>
  </w:num>
  <w:num w:numId="19">
    <w:abstractNumId w:val="22"/>
  </w:num>
  <w:num w:numId="20">
    <w:abstractNumId w:val="11"/>
  </w:num>
  <w:num w:numId="21">
    <w:abstractNumId w:val="8"/>
  </w:num>
  <w:num w:numId="22">
    <w:abstractNumId w:val="31"/>
  </w:num>
  <w:num w:numId="23">
    <w:abstractNumId w:val="20"/>
  </w:num>
  <w:num w:numId="24">
    <w:abstractNumId w:val="24"/>
  </w:num>
  <w:num w:numId="25">
    <w:abstractNumId w:val="3"/>
  </w:num>
  <w:num w:numId="26">
    <w:abstractNumId w:val="26"/>
  </w:num>
  <w:num w:numId="27">
    <w:abstractNumId w:val="2"/>
  </w:num>
  <w:num w:numId="28">
    <w:abstractNumId w:val="10"/>
  </w:num>
  <w:num w:numId="29">
    <w:abstractNumId w:val="5"/>
  </w:num>
  <w:num w:numId="30">
    <w:abstractNumId w:val="29"/>
  </w:num>
  <w:num w:numId="31">
    <w:abstractNumId w:val="2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7A"/>
    <w:rsid w:val="009217DF"/>
    <w:rsid w:val="00B72450"/>
    <w:rsid w:val="00B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c18">
    <w:name w:val="c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spacing w:after="100" w:line="259" w:lineRule="auto"/>
    </w:pPr>
    <w:rPr>
      <w:rFonts w:eastAsiaTheme="minorHAnsi"/>
      <w:lang w:eastAsia="en-US"/>
    </w:rPr>
  </w:style>
  <w:style w:type="paragraph" w:styleId="21">
    <w:name w:val="toc 2"/>
    <w:basedOn w:val="a"/>
    <w:next w:val="a"/>
    <w:autoRedefine/>
    <w:uiPriority w:val="39"/>
    <w:unhideWhenUsed/>
    <w:pPr>
      <w:spacing w:after="100" w:line="259" w:lineRule="auto"/>
      <w:ind w:left="220"/>
    </w:pPr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c18">
    <w:name w:val="c1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spacing w:after="100" w:line="259" w:lineRule="auto"/>
    </w:pPr>
    <w:rPr>
      <w:rFonts w:eastAsiaTheme="minorHAnsi"/>
      <w:lang w:eastAsia="en-US"/>
    </w:rPr>
  </w:style>
  <w:style w:type="paragraph" w:styleId="21">
    <w:name w:val="toc 2"/>
    <w:basedOn w:val="a"/>
    <w:next w:val="a"/>
    <w:autoRedefine/>
    <w:uiPriority w:val="39"/>
    <w:unhideWhenUsed/>
    <w:pPr>
      <w:spacing w:after="100" w:line="259" w:lineRule="auto"/>
      <w:ind w:left="220"/>
    </w:pPr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grovie-tehnologii-novogo-pokoleniya-1302454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Кучукова</cp:lastModifiedBy>
  <cp:revision>2</cp:revision>
  <dcterms:created xsi:type="dcterms:W3CDTF">2024-01-30T12:30:00Z</dcterms:created>
  <dcterms:modified xsi:type="dcterms:W3CDTF">2024-01-30T12:30:00Z</dcterms:modified>
</cp:coreProperties>
</file>