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0BB" w:rsidRDefault="001560BB" w:rsidP="001560B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0BB">
        <w:rPr>
          <w:rFonts w:ascii="Times New Roman" w:hAnsi="Times New Roman" w:cs="Times New Roman"/>
          <w:b/>
          <w:sz w:val="28"/>
          <w:szCs w:val="28"/>
        </w:rPr>
        <w:t>Коррупция как социальное явление</w:t>
      </w:r>
    </w:p>
    <w:p w:rsidR="001560BB" w:rsidRPr="001560BB" w:rsidRDefault="001560BB" w:rsidP="001560B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Наиболее полное и глубокое понимание коррупции возможно при исследовании её как социального явления, социальной практики, стереотипов сознания и эмоционального их восприятия. Коррупция в социальном плане — одно из проявлений продажности.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Процесс социального конструирования коррупции включает: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наличие множества фактов продажности (взяточничества) различных государственных служащих и должностных лиц;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осознание этих фактов как социальной проблемы;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криминализацию некоторых форм коррупционной деятельности;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реакцию политиков, правоохранительных органов, юристов, средств массовой информации, населения на коррупцию и т.п.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В современном обществе, включая </w:t>
      </w:r>
      <w:proofErr w:type="gramStart"/>
      <w:r w:rsidRPr="001560BB">
        <w:rPr>
          <w:rFonts w:ascii="Times New Roman" w:hAnsi="Times New Roman" w:cs="Times New Roman"/>
          <w:sz w:val="28"/>
          <w:szCs w:val="28"/>
        </w:rPr>
        <w:t>российское</w:t>
      </w:r>
      <w:proofErr w:type="gramEnd"/>
      <w:r w:rsidRPr="001560BB">
        <w:rPr>
          <w:rFonts w:ascii="Times New Roman" w:hAnsi="Times New Roman" w:cs="Times New Roman"/>
          <w:sz w:val="28"/>
          <w:szCs w:val="28"/>
        </w:rPr>
        <w:t>, коррупция — социальный институт, элемент системы управления, тесно взаимосвязанный с другими социальными институтами — политическими, экон</w:t>
      </w:r>
      <w:r>
        <w:rPr>
          <w:rFonts w:ascii="Times New Roman" w:hAnsi="Times New Roman" w:cs="Times New Roman"/>
          <w:sz w:val="28"/>
          <w:szCs w:val="28"/>
        </w:rPr>
        <w:t>омическими, культурологическими.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Об институционализа</w:t>
      </w:r>
      <w:r>
        <w:rPr>
          <w:rFonts w:ascii="Times New Roman" w:hAnsi="Times New Roman" w:cs="Times New Roman"/>
          <w:sz w:val="28"/>
          <w:szCs w:val="28"/>
        </w:rPr>
        <w:t>ции коррупции свидетельствуют: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выполнение ею ряда социальных функций — упрощение административных связей, ускорение и упрощение принятия управленческих решений, консолидация и реструктуризация отношений между социальными класса</w:t>
      </w:r>
      <w:r>
        <w:rPr>
          <w:rFonts w:ascii="Times New Roman" w:hAnsi="Times New Roman" w:cs="Times New Roman"/>
          <w:sz w:val="28"/>
          <w:szCs w:val="28"/>
        </w:rPr>
        <w:t>ми и группами, содействие эконо</w:t>
      </w:r>
      <w:r w:rsidRPr="001560BB">
        <w:rPr>
          <w:rFonts w:ascii="Times New Roman" w:hAnsi="Times New Roman" w:cs="Times New Roman"/>
          <w:sz w:val="28"/>
          <w:szCs w:val="28"/>
        </w:rPr>
        <w:t>мическому развитию путем сокращения бюрократических барьеров, оптимизация экономики в условиях дефицита ресурсов и др.;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наличие вполне определенных субъектов коррупционных взаимоотношений (патрон — клиент), распределение социальных ролей (взяткодатель, взяткополучатель, посредник);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наличие определенных правил игры, норм, известных субъектам коррупционной деятельности;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>сложившийся сленг и символика (например, хорошо известный и всеми понимаемый жест потирания большим пальцем руки указательного и среднего пальцев) коррупционных действий;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—</w:t>
      </w:r>
      <w:r w:rsidRPr="001560BB">
        <w:rPr>
          <w:rFonts w:ascii="Times New Roman" w:hAnsi="Times New Roman" w:cs="Times New Roman"/>
          <w:sz w:val="28"/>
          <w:szCs w:val="28"/>
        </w:rPr>
        <w:tab/>
        <w:t xml:space="preserve">установившаяся и известная заинтересованным лицам такса услуг. Например, такса поборов работниками ГАИ была опубликована еще в 1996 г. газетой «Стрела». Опубликованы существующие таксы в сфере «правоохранительной деятельности»: плата за </w:t>
      </w:r>
      <w:proofErr w:type="spellStart"/>
      <w:r w:rsidRPr="001560BB">
        <w:rPr>
          <w:rFonts w:ascii="Times New Roman" w:hAnsi="Times New Roman" w:cs="Times New Roman"/>
          <w:sz w:val="28"/>
          <w:szCs w:val="28"/>
        </w:rPr>
        <w:t>невозбуждение</w:t>
      </w:r>
      <w:proofErr w:type="spellEnd"/>
      <w:r w:rsidRPr="001560BB">
        <w:rPr>
          <w:rFonts w:ascii="Times New Roman" w:hAnsi="Times New Roman" w:cs="Times New Roman"/>
          <w:sz w:val="28"/>
          <w:szCs w:val="28"/>
        </w:rPr>
        <w:t xml:space="preserve"> уголовного дела ($1000 — 10000), за изменение меры пресечения с освобождением из-под стражи ($20000-25000), за смягчение наказания ($5000-15000), за игнорирование таможенных нарушений ($10000-20000 или 20-25% от таможенного сбора). А вот «расценка услуг» на высшем федеральном уровне: стоимость назначения депутата Государственной Думы на должность председателя комитета — порядка $30000, стоимость внесения любого законопроекта на рассмотрение Государственной Думы — около $250000, статус помощника депутата оценивается в $4000-5000.</w:t>
      </w:r>
    </w:p>
    <w:p w:rsid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Оказалось, что теневая реальность — это не только «вторая экономика» или коррупция, но охватывающая всё общество в целом, законченная институциональная система (экономика, право, административные отношения и т.д.), — вся целиком вне сферы юридического закона». И коррупция — лишь элемент (пусть один из важнейших, быть может — самый главный) этой теневой реальности нашего бытия.</w:t>
      </w:r>
    </w:p>
    <w:p w:rsidR="001560BB" w:rsidRPr="001560BB" w:rsidRDefault="001560BB" w:rsidP="001560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560BB" w:rsidRPr="001560B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AA6" w:rsidRDefault="00762AA6" w:rsidP="00D424A0">
      <w:pPr>
        <w:spacing w:after="0" w:line="240" w:lineRule="auto"/>
      </w:pPr>
      <w:r>
        <w:separator/>
      </w:r>
    </w:p>
  </w:endnote>
  <w:endnote w:type="continuationSeparator" w:id="0">
    <w:p w:rsidR="00762AA6" w:rsidRDefault="00762AA6" w:rsidP="00D42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8556039"/>
      <w:docPartObj>
        <w:docPartGallery w:val="Page Numbers (Bottom of Page)"/>
        <w:docPartUnique/>
      </w:docPartObj>
    </w:sdtPr>
    <w:sdtContent>
      <w:p w:rsidR="00D424A0" w:rsidRDefault="00D424A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424A0" w:rsidRDefault="00D424A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AA6" w:rsidRDefault="00762AA6" w:rsidP="00D424A0">
      <w:pPr>
        <w:spacing w:after="0" w:line="240" w:lineRule="auto"/>
      </w:pPr>
      <w:r>
        <w:separator/>
      </w:r>
    </w:p>
  </w:footnote>
  <w:footnote w:type="continuationSeparator" w:id="0">
    <w:p w:rsidR="00762AA6" w:rsidRDefault="00762AA6" w:rsidP="00D42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0BB"/>
    <w:rsid w:val="001560BB"/>
    <w:rsid w:val="003A526B"/>
    <w:rsid w:val="00762AA6"/>
    <w:rsid w:val="007F182B"/>
    <w:rsid w:val="00D4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24A0"/>
  </w:style>
  <w:style w:type="paragraph" w:styleId="a5">
    <w:name w:val="footer"/>
    <w:basedOn w:val="a"/>
    <w:link w:val="a6"/>
    <w:uiPriority w:val="99"/>
    <w:unhideWhenUsed/>
    <w:rsid w:val="00D42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24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24A0"/>
  </w:style>
  <w:style w:type="paragraph" w:styleId="a5">
    <w:name w:val="footer"/>
    <w:basedOn w:val="a"/>
    <w:link w:val="a6"/>
    <w:uiPriority w:val="99"/>
    <w:unhideWhenUsed/>
    <w:rsid w:val="00D42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2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2015-11-26T07:58:00Z</dcterms:created>
  <dcterms:modified xsi:type="dcterms:W3CDTF">2015-11-26T07:58:00Z</dcterms:modified>
</cp:coreProperties>
</file>